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after="157" w:afterLines="50" w:line="240" w:lineRule="auto"/>
        <w:outlineLvl w:val="0"/>
        <w:rPr>
          <w:rFonts w:hint="default" w:ascii="Arial" w:hAnsi="Arial" w:eastAsia="MS Mincho" w:cs="Arial"/>
          <w:b/>
          <w:i w:val="0"/>
          <w:color w:val="auto"/>
          <w:sz w:val="24"/>
          <w:lang w:val="en-US" w:eastAsia="zh-CN"/>
        </w:rPr>
      </w:pPr>
      <w:r>
        <w:rPr>
          <w:rFonts w:hint="default" w:ascii="Arial" w:hAnsi="Arial" w:cs="Arial"/>
          <w:b/>
          <w:color w:val="auto"/>
          <w:sz w:val="24"/>
          <w:lang w:val="en-US"/>
        </w:rPr>
        <w:t xml:space="preserve">3GPP TSG-RAN WG4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12                                </w:t>
      </w:r>
      <w:r>
        <w:rPr>
          <w:rFonts w:hint="default" w:ascii="Arial" w:hAnsi="Arial" w:cs="Arial"/>
          <w:b/>
          <w:color w:val="auto"/>
          <w:sz w:val="24"/>
          <w:lang w:val="en-US" w:eastAsia="zh-CN"/>
        </w:rPr>
        <w:t>R4-2</w:t>
      </w:r>
      <w:r>
        <w:rPr>
          <w:rFonts w:hint="eastAsia" w:cs="Arial"/>
          <w:b/>
          <w:color w:val="auto"/>
          <w:sz w:val="24"/>
          <w:lang w:val="en-US" w:eastAsia="zh-CN"/>
        </w:rPr>
        <w:t>411900</w:t>
      </w:r>
      <w:bookmarkStart w:id="1" w:name="_GoBack"/>
      <w:bookmarkEnd w:id="1"/>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Maastricht, Netherlands, 19th-23th Aug, 2024</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after="157" w:afterLines="50" w:line="240" w:lineRule="auto"/>
        <w:ind w:left="0" w:firstLine="0"/>
        <w:jc w:val="left"/>
        <w:outlineLvl w:val="0"/>
        <w:rPr>
          <w:rFonts w:hint="default"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Systems parameters and RF requirements of n68</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7.16.2</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In RAN#104 meeting, a Rel-19 WI on introduction of new NR FDD bands n68 was approved in [1].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The core objectives of this WI are:</w:t>
            </w:r>
          </w:p>
          <w:p>
            <w:pPr>
              <w:pStyle w:val="29"/>
              <w:keepNext w:val="0"/>
              <w:keepLines w:val="0"/>
              <w:pageBreakBefore w:val="0"/>
              <w:numPr>
                <w:ilvl w:val="0"/>
                <w:numId w:val="4"/>
              </w:numPr>
              <w:kinsoku/>
              <w:wordWrap/>
              <w:overflowPunct/>
              <w:topLinePunct w:val="0"/>
              <w:autoSpaceDE/>
              <w:autoSpaceDN/>
              <w:bidi w:val="0"/>
              <w:adjustRightInd/>
              <w:snapToGrid w:val="0"/>
              <w:spacing w:line="240" w:lineRule="auto"/>
              <w:ind w:right="-99"/>
              <w:textAlignment w:val="auto"/>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 xml:space="preserve">Specify a new NR FDD operating band n68 (the uplink band for this new band is 30 MHz, 698-728 MHz; the downlink band is 30 MHz, 753-783 MHz; the duplex gap is 25 MHz, 728-753 MHz) to support subcarrier spacing of 15 kHz for 5 MHz channel bandwidth, and </w:t>
            </w:r>
            <w:bookmarkStart w:id="0" w:name="OLE_LINK8"/>
            <w:r>
              <w:rPr>
                <w:rFonts w:hint="default" w:ascii="Times New Roman" w:hAnsi="Times New Roman" w:cs="Times New Roman"/>
                <w:bCs/>
                <w:color w:val="auto"/>
                <w:sz w:val="20"/>
                <w:szCs w:val="20"/>
                <w:highlight w:val="none"/>
              </w:rPr>
              <w:t>subcarrier spacing of 15 kHz and 30 kHz for</w:t>
            </w:r>
            <w:bookmarkEnd w:id="0"/>
            <w:r>
              <w:rPr>
                <w:rFonts w:hint="default" w:ascii="Times New Roman" w:hAnsi="Times New Roman" w:cs="Times New Roman"/>
                <w:bCs/>
                <w:color w:val="auto"/>
                <w:sz w:val="20"/>
                <w:szCs w:val="20"/>
                <w:highlight w:val="none"/>
              </w:rPr>
              <w:t xml:space="preserve"> 10 and 15 MHz channel bandwidths. </w:t>
            </w:r>
          </w:p>
          <w:p>
            <w:pPr>
              <w:pStyle w:val="29"/>
              <w:keepNext w:val="0"/>
              <w:keepLines w:val="0"/>
              <w:pageBreakBefore w:val="0"/>
              <w:numPr>
                <w:ilvl w:val="1"/>
                <w:numId w:val="4"/>
              </w:numPr>
              <w:kinsoku/>
              <w:wordWrap/>
              <w:overflowPunct/>
              <w:topLinePunct w:val="0"/>
              <w:autoSpaceDE/>
              <w:autoSpaceDN/>
              <w:bidi w:val="0"/>
              <w:adjustRightInd/>
              <w:snapToGrid w:val="0"/>
              <w:spacing w:line="240" w:lineRule="auto"/>
              <w:ind w:right="-99"/>
              <w:textAlignment w:val="auto"/>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lang w:val="de-AT"/>
              </w:rPr>
              <w:t>Only symmetric bandwidths are supported.</w:t>
            </w:r>
          </w:p>
          <w:p>
            <w:pPr>
              <w:pStyle w:val="29"/>
              <w:keepNext w:val="0"/>
              <w:keepLines w:val="0"/>
              <w:pageBreakBefore w:val="0"/>
              <w:numPr>
                <w:ilvl w:val="0"/>
                <w:numId w:val="4"/>
              </w:numPr>
              <w:kinsoku/>
              <w:wordWrap/>
              <w:overflowPunct/>
              <w:topLinePunct w:val="0"/>
              <w:autoSpaceDE/>
              <w:autoSpaceDN/>
              <w:bidi w:val="0"/>
              <w:adjustRightInd/>
              <w:snapToGrid w:val="0"/>
              <w:spacing w:line="240" w:lineRule="auto"/>
              <w:ind w:right="-99"/>
              <w:textAlignment w:val="auto"/>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 xml:space="preserve">Specify system parameters and RF characteristics of the new band. </w:t>
            </w:r>
          </w:p>
          <w:p>
            <w:pPr>
              <w:pStyle w:val="29"/>
              <w:keepNext w:val="0"/>
              <w:keepLines w:val="0"/>
              <w:pageBreakBefore w:val="0"/>
              <w:numPr>
                <w:ilvl w:val="0"/>
                <w:numId w:val="5"/>
              </w:numPr>
              <w:kinsoku/>
              <w:wordWrap/>
              <w:overflowPunct/>
              <w:topLinePunct w:val="0"/>
              <w:autoSpaceDE/>
              <w:autoSpaceDN/>
              <w:bidi w:val="0"/>
              <w:adjustRightInd/>
              <w:snapToGrid w:val="0"/>
              <w:spacing w:line="240" w:lineRule="auto"/>
              <w:ind w:right="-99"/>
              <w:textAlignment w:val="auto"/>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 xml:space="preserve">Address potential BS and UE co-existence issues, if any. </w:t>
            </w:r>
          </w:p>
          <w:p>
            <w:pPr>
              <w:pStyle w:val="29"/>
              <w:keepNext w:val="0"/>
              <w:keepLines w:val="0"/>
              <w:pageBreakBefore w:val="0"/>
              <w:numPr>
                <w:ilvl w:val="0"/>
                <w:numId w:val="5"/>
              </w:numPr>
              <w:kinsoku/>
              <w:wordWrap/>
              <w:overflowPunct/>
              <w:topLinePunct w:val="0"/>
              <w:autoSpaceDE/>
              <w:autoSpaceDN/>
              <w:bidi w:val="0"/>
              <w:adjustRightInd/>
              <w:snapToGrid w:val="0"/>
              <w:spacing w:line="240" w:lineRule="auto"/>
              <w:ind w:right="-99"/>
              <w:textAlignment w:val="auto"/>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 xml:space="preserve">Update the related technical specifications to include support for the new band </w:t>
            </w:r>
          </w:p>
          <w:p>
            <w:pPr>
              <w:pStyle w:val="29"/>
              <w:keepNext w:val="0"/>
              <w:keepLines w:val="0"/>
              <w:pageBreakBefore w:val="0"/>
              <w:numPr>
                <w:ilvl w:val="0"/>
                <w:numId w:val="5"/>
              </w:numPr>
              <w:kinsoku/>
              <w:wordWrap/>
              <w:overflowPunct/>
              <w:topLinePunct w:val="0"/>
              <w:autoSpaceDE/>
              <w:autoSpaceDN/>
              <w:bidi w:val="0"/>
              <w:adjustRightInd/>
              <w:snapToGrid w:val="0"/>
              <w:spacing w:line="240" w:lineRule="auto"/>
              <w:ind w:right="-99"/>
              <w:textAlignment w:val="auto"/>
              <w:rPr>
                <w:rFonts w:hint="default" w:ascii="Times New Roman" w:hAnsi="Times New Roman" w:cs="Times New Roman"/>
                <w:bCs/>
                <w:color w:val="auto"/>
                <w:sz w:val="20"/>
                <w:szCs w:val="20"/>
                <w:highlight w:val="none"/>
              </w:rPr>
            </w:pPr>
            <w:r>
              <w:rPr>
                <w:rFonts w:hint="default" w:ascii="Times New Roman" w:hAnsi="Times New Roman" w:cs="Times New Roman"/>
                <w:bCs/>
                <w:color w:val="auto"/>
                <w:sz w:val="20"/>
                <w:szCs w:val="20"/>
                <w:highlight w:val="none"/>
              </w:rPr>
              <w:t>Specify the UE RF requirements for the new bands based on 2 Rx operation.</w:t>
            </w:r>
          </w:p>
          <w:p>
            <w:pPr>
              <w:keepNext w:val="0"/>
              <w:keepLines w:val="0"/>
              <w:pageBreakBefore w:val="0"/>
              <w:kinsoku/>
              <w:wordWrap/>
              <w:overflowPunct/>
              <w:topLinePunct w:val="0"/>
              <w:autoSpaceDE/>
              <w:autoSpaceDN/>
              <w:bidi w:val="0"/>
              <w:adjustRightInd/>
              <w:snapToGrid w:val="0"/>
              <w:spacing w:after="0" w:line="240" w:lineRule="auto"/>
              <w:textAlignment w:val="auto"/>
              <w:rPr>
                <w:rFonts w:hint="eastAsia"/>
                <w:bCs/>
                <w:i w:val="0"/>
                <w:iCs w:val="0"/>
                <w:kern w:val="0"/>
                <w:sz w:val="20"/>
                <w:szCs w:val="20"/>
                <w:highlight w:val="none"/>
                <w:vertAlign w:val="baseline"/>
                <w:lang w:val="en-US" w:eastAsia="zh-CN"/>
              </w:rPr>
            </w:pPr>
            <w:r>
              <w:rPr>
                <w:rFonts w:hint="default" w:ascii="Times New Roman" w:hAnsi="Times New Roman" w:cs="Times New Roman"/>
                <w:bCs/>
                <w:color w:val="auto"/>
                <w:sz w:val="20"/>
                <w:szCs w:val="20"/>
                <w:highlight w:val="none"/>
              </w:rPr>
              <w:t>Note: This new NR band will be introduced in a REL-independent way starting from REL-15.</w:t>
            </w:r>
          </w:p>
        </w:tc>
      </w:tr>
    </w:tbl>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Standardization of NR band n68 is based on E-UTRA band 68. In this contribution, we provide some system parameters and RF requirements of this new band that need to be included to Rel-19 specification.</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 xml:space="preserve">2.1 </w:t>
      </w:r>
      <w:r>
        <w:rPr>
          <w:rFonts w:hint="eastAsia" w:ascii="Arial" w:hAnsi="Arial" w:cs="Arial"/>
          <w:b/>
          <w:bCs/>
          <w:i w:val="0"/>
          <w:iCs w:val="0"/>
          <w:sz w:val="22"/>
          <w:szCs w:val="22"/>
          <w:highlight w:val="none"/>
          <w:u w:val="none"/>
          <w:lang w:val="en-US" w:eastAsia="zh-CN"/>
        </w:rPr>
        <w:t>System parameters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 inclusion of band n68 within the 5G NR operating bands will allow band n68 to deploy advanced 5G NR services and applications in additional low frequency spectrum and contribute to extend the range of deployment[1]. In this case, band n68 should be included in Rel-19 spec in order to guide 5G NR devices to support this new NR band.</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Introduction of NR bands n68 will influence the following system parameters in existing specification.</w:t>
      </w:r>
    </w:p>
    <w:p>
      <w:pPr>
        <w:keepNext w:val="0"/>
        <w:keepLines w:val="0"/>
        <w:pageBreakBefore w:val="0"/>
        <w:widowControl/>
        <w:numPr>
          <w:ilvl w:val="0"/>
          <w:numId w:val="6"/>
        </w:numPr>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Operating band</w:t>
      </w:r>
    </w:p>
    <w:p>
      <w:pPr>
        <w:keepNext w:val="0"/>
        <w:keepLines w:val="0"/>
        <w:pageBreakBefore w:val="0"/>
        <w:widowControl/>
        <w:numPr>
          <w:ilvl w:val="0"/>
          <w:numId w:val="0"/>
        </w:numPr>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val="0"/>
          <w:bCs w:val="0"/>
          <w:i w:val="0"/>
          <w:iCs w:val="0"/>
          <w:sz w:val="20"/>
          <w:szCs w:val="20"/>
          <w:highlight w:val="none"/>
          <w:lang w:val="en-US" w:eastAsia="zh-CN"/>
        </w:rPr>
        <w:t>As LTE refarming bands, n68 should be defined in operating bands in FR1 as in Table 2-1.</w:t>
      </w:r>
    </w:p>
    <w:p>
      <w:pPr>
        <w:keepNext w:val="0"/>
        <w:keepLines w:val="0"/>
        <w:pageBreakBefore w:val="0"/>
        <w:widowControl w:val="0"/>
        <w:kinsoku/>
        <w:wordWrap/>
        <w:overflowPunct/>
        <w:topLinePunct w:val="0"/>
        <w:autoSpaceDE/>
        <w:autoSpaceDN/>
        <w:bidi w:val="0"/>
        <w:adjustRightInd/>
        <w:snapToGrid w:val="0"/>
        <w:spacing w:before="0" w:after="157" w:afterLines="50"/>
        <w:jc w:val="center"/>
        <w:textAlignment w:val="auto"/>
        <w:rPr>
          <w:rFonts w:ascii="Arial" w:hAnsi="Arial" w:eastAsia="Times New Roman" w:cs="Times New Roman"/>
          <w:b/>
          <w:lang w:val="en-GB" w:eastAsia="en-US" w:bidi="ar-SA"/>
        </w:rPr>
      </w:pPr>
      <w:r>
        <w:rPr>
          <w:rFonts w:ascii="Arial" w:hAnsi="Arial" w:eastAsia="Times New Roman" w:cs="Times New Roman"/>
          <w:b/>
          <w:lang w:val="en-GB" w:eastAsia="en-US" w:bidi="ar-SA"/>
        </w:rPr>
        <w:t>Table 2-1</w:t>
      </w:r>
      <w:r>
        <w:rPr>
          <w:rFonts w:hint="eastAsia" w:ascii="Arial" w:hAnsi="Arial" w:eastAsia="宋体" w:cs="Times New Roman"/>
          <w:b/>
          <w:lang w:val="en-US" w:eastAsia="zh-CN" w:bidi="ar-SA"/>
        </w:rPr>
        <w:t xml:space="preserve"> </w:t>
      </w:r>
      <w:r>
        <w:rPr>
          <w:rFonts w:ascii="Arial" w:hAnsi="Arial" w:eastAsia="Times New Roman" w:cs="Times New Roman"/>
          <w:b/>
          <w:lang w:val="en-GB" w:eastAsia="en-US" w:bidi="ar-SA"/>
        </w:rPr>
        <w:t xml:space="preserve"> NR operating bands in FR1</w:t>
      </w:r>
    </w:p>
    <w:tbl>
      <w:tblPr>
        <w:tblStyle w:val="17"/>
        <w:tblW w:w="7737" w:type="dxa"/>
        <w:jc w:val="center"/>
        <w:tblLayout w:type="fixed"/>
        <w:tblCellMar>
          <w:top w:w="0" w:type="dxa"/>
          <w:left w:w="108" w:type="dxa"/>
          <w:bottom w:w="0" w:type="dxa"/>
          <w:right w:w="108" w:type="dxa"/>
        </w:tblCellMar>
      </w:tblPr>
      <w:tblGrid>
        <w:gridCol w:w="1161"/>
        <w:gridCol w:w="2715"/>
        <w:gridCol w:w="2953"/>
        <w:gridCol w:w="908"/>
      </w:tblGrid>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NR operating band</w:t>
            </w:r>
          </w:p>
        </w:tc>
        <w:tc>
          <w:tcPr>
            <w:tcW w:w="271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Uplink (UL) </w:t>
            </w:r>
            <w:r>
              <w:rPr>
                <w:rFonts w:ascii="Arial" w:hAnsi="Arial" w:eastAsia="Times New Roman" w:cs="Times New Roman"/>
                <w:b/>
                <w:i/>
                <w:sz w:val="18"/>
                <w:lang w:val="en-GB" w:eastAsia="en-US" w:bidi="ar-SA"/>
              </w:rPr>
              <w:t>operating band</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BS receive / UE transmit</w:t>
            </w:r>
          </w:p>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eastAsia="Times New Roman" w:cs="Times New Roman"/>
                <w:b/>
                <w:sz w:val="18"/>
                <w:vertAlign w:val="subscript"/>
                <w:lang w:val="en-GB" w:eastAsia="en-US" w:bidi="ar-SA"/>
              </w:rPr>
            </w:pPr>
            <w:r>
              <w:rPr>
                <w:rFonts w:ascii="Arial" w:hAnsi="Arial" w:eastAsia="Times New Roman" w:cs="Times New Roman"/>
                <w:b/>
                <w:sz w:val="18"/>
                <w:lang w:val="en-GB" w:eastAsia="en-US" w:bidi="ar-SA"/>
              </w:rPr>
              <w:t>F</w:t>
            </w:r>
            <w:r>
              <w:rPr>
                <w:rFonts w:ascii="Arial" w:hAnsi="Arial" w:eastAsia="Times New Roman" w:cs="Times New Roman"/>
                <w:b/>
                <w:sz w:val="18"/>
                <w:vertAlign w:val="subscript"/>
                <w:lang w:val="en-GB" w:eastAsia="en-US" w:bidi="ar-SA"/>
              </w:rPr>
              <w:t xml:space="preserve">UL_low </w:t>
            </w:r>
            <w:r>
              <w:rPr>
                <w:rFonts w:ascii="Arial" w:hAnsi="Arial" w:eastAsia="Times New Roman" w:cs="Times New Roman"/>
                <w:b/>
                <w:sz w:val="18"/>
                <w:lang w:val="en-GB" w:eastAsia="en-US" w:bidi="ar-SA"/>
              </w:rPr>
              <w:t xml:space="preserve">  –  F</w:t>
            </w:r>
            <w:r>
              <w:rPr>
                <w:rFonts w:ascii="Arial" w:hAnsi="Arial" w:eastAsia="Times New Roman" w:cs="Times New Roman"/>
                <w:b/>
                <w:sz w:val="18"/>
                <w:vertAlign w:val="subscript"/>
                <w:lang w:val="en-GB" w:eastAsia="en-US" w:bidi="ar-SA"/>
              </w:rPr>
              <w:t>UL_high</w:t>
            </w:r>
          </w:p>
        </w:tc>
        <w:tc>
          <w:tcPr>
            <w:tcW w:w="295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 xml:space="preserve">Downlink (DL) </w:t>
            </w:r>
            <w:r>
              <w:rPr>
                <w:rFonts w:ascii="Arial" w:hAnsi="Arial" w:eastAsia="Times New Roman" w:cs="Times New Roman"/>
                <w:b/>
                <w:i/>
                <w:sz w:val="18"/>
                <w:lang w:val="en-GB" w:eastAsia="en-US" w:bidi="ar-SA"/>
              </w:rPr>
              <w:t>operating band</w:t>
            </w:r>
            <w:r>
              <w:rPr>
                <w:rFonts w:ascii="Arial" w:hAnsi="Arial" w:eastAsia="Times New Roman" w:cs="Times New Roman"/>
                <w:b/>
                <w:sz w:val="18"/>
                <w:lang w:val="en-GB" w:eastAsia="en-US" w:bidi="ar-SA"/>
              </w:rPr>
              <w:br w:type="textWrapping"/>
            </w:r>
            <w:r>
              <w:rPr>
                <w:rFonts w:ascii="Arial" w:hAnsi="Arial" w:eastAsia="Times New Roman" w:cs="Times New Roman"/>
                <w:b/>
                <w:sz w:val="18"/>
                <w:lang w:val="en-GB" w:eastAsia="en-US" w:bidi="ar-SA"/>
              </w:rPr>
              <w:t>BS transmit / UE receive</w:t>
            </w:r>
          </w:p>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F</w:t>
            </w:r>
            <w:r>
              <w:rPr>
                <w:rFonts w:ascii="Arial" w:hAnsi="Arial" w:eastAsia="Times New Roman" w:cs="Times New Roman"/>
                <w:b/>
                <w:sz w:val="18"/>
                <w:vertAlign w:val="subscript"/>
                <w:lang w:val="en-GB" w:eastAsia="en-US" w:bidi="ar-SA"/>
              </w:rPr>
              <w:t>DL_low</w:t>
            </w:r>
            <w:r>
              <w:rPr>
                <w:rFonts w:ascii="Arial" w:hAnsi="Arial" w:eastAsia="Times New Roman" w:cs="Times New Roman"/>
                <w:b/>
                <w:sz w:val="18"/>
                <w:lang w:val="en-GB" w:eastAsia="en-US" w:bidi="ar-SA"/>
              </w:rPr>
              <w:t xml:space="preserve">   –  F</w:t>
            </w:r>
            <w:r>
              <w:rPr>
                <w:rFonts w:ascii="Arial" w:hAnsi="Arial" w:eastAsia="Times New Roman" w:cs="Times New Roman"/>
                <w:b/>
                <w:sz w:val="18"/>
                <w:vertAlign w:val="subscript"/>
                <w:lang w:val="en-GB" w:eastAsia="en-US" w:bidi="ar-SA"/>
              </w:rPr>
              <w:t>DL_high</w:t>
            </w:r>
          </w:p>
        </w:tc>
        <w:tc>
          <w:tcPr>
            <w:tcW w:w="908" w:type="dxa"/>
            <w:tcBorders>
              <w:top w:val="single" w:color="auto" w:sz="4" w:space="0"/>
              <w:left w:val="single" w:color="auto" w:sz="4" w:space="0"/>
              <w:bottom w:val="nil"/>
              <w:right w:val="single" w:color="auto" w:sz="4" w:space="0"/>
            </w:tcBorders>
          </w:tcPr>
          <w:p>
            <w:pPr>
              <w:keepNext w:val="0"/>
              <w:keepLines w:val="0"/>
              <w:pageBreakBefore w:val="0"/>
              <w:widowControl w:val="0"/>
              <w:kinsoku/>
              <w:wordWrap/>
              <w:overflowPunct/>
              <w:topLinePunct w:val="0"/>
              <w:autoSpaceDE/>
              <w:autoSpaceDN/>
              <w:bidi w:val="0"/>
              <w:adjustRightInd/>
              <w:snapToGrid w:val="0"/>
              <w:spacing w:after="0"/>
              <w:jc w:val="center"/>
              <w:textAlignment w:val="auto"/>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Duplex Mode</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n</w:t>
            </w:r>
            <w:r>
              <w:rPr>
                <w:rFonts w:hint="eastAsia" w:ascii="Arial" w:hAnsi="Arial" w:eastAsia="宋体" w:cs="Times New Roman"/>
                <w:sz w:val="18"/>
                <w:lang w:val="en-US" w:eastAsia="zh-CN" w:bidi="ar-SA"/>
              </w:rPr>
              <w:t>68</w:t>
            </w:r>
          </w:p>
        </w:tc>
        <w:tc>
          <w:tcPr>
            <w:tcW w:w="271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698</w:t>
            </w:r>
            <w:r>
              <w:rPr>
                <w:rFonts w:ascii="Arial" w:hAnsi="Arial" w:eastAsia="Times New Roman" w:cs="Times New Roman"/>
                <w:sz w:val="18"/>
                <w:lang w:val="en-GB" w:eastAsia="en-US" w:bidi="ar-SA"/>
              </w:rPr>
              <w:t xml:space="preserve"> MHz – </w:t>
            </w:r>
            <w:r>
              <w:rPr>
                <w:rFonts w:hint="eastAsia" w:ascii="Arial" w:hAnsi="Arial" w:eastAsia="宋体" w:cs="Times New Roman"/>
                <w:sz w:val="18"/>
                <w:lang w:val="en-US" w:eastAsia="zh-CN" w:bidi="ar-SA"/>
              </w:rPr>
              <w:t>728</w:t>
            </w:r>
            <w:r>
              <w:rPr>
                <w:rFonts w:ascii="Arial" w:hAnsi="Arial" w:eastAsia="Times New Roman" w:cs="Times New Roman"/>
                <w:sz w:val="18"/>
                <w:lang w:val="en-GB" w:eastAsia="en-US" w:bidi="ar-SA"/>
              </w:rPr>
              <w:t xml:space="preserve"> MHz</w:t>
            </w:r>
          </w:p>
        </w:tc>
        <w:tc>
          <w:tcPr>
            <w:tcW w:w="2953"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Times New Roman" w:cs="Times New Roman"/>
                <w:sz w:val="18"/>
                <w:lang w:val="en-GB" w:eastAsia="en-US" w:bidi="ar-SA"/>
              </w:rPr>
            </w:pPr>
            <w:r>
              <w:rPr>
                <w:rFonts w:hint="eastAsia" w:ascii="Arial" w:hAnsi="Arial" w:eastAsia="宋体" w:cs="Times New Roman"/>
                <w:sz w:val="18"/>
                <w:lang w:val="en-US" w:eastAsia="zh-CN" w:bidi="ar-SA"/>
              </w:rPr>
              <w:t>753</w:t>
            </w:r>
            <w:r>
              <w:rPr>
                <w:rFonts w:ascii="Arial" w:hAnsi="Arial" w:eastAsia="Times New Roman" w:cs="Times New Roman"/>
                <w:sz w:val="18"/>
                <w:lang w:val="en-GB" w:eastAsia="en-US" w:bidi="ar-SA"/>
              </w:rPr>
              <w:t xml:space="preserve"> MHz – </w:t>
            </w:r>
            <w:r>
              <w:rPr>
                <w:rFonts w:hint="eastAsia" w:ascii="Arial" w:hAnsi="Arial" w:eastAsia="宋体" w:cs="Times New Roman"/>
                <w:sz w:val="18"/>
                <w:lang w:val="en-US" w:eastAsia="zh-CN" w:bidi="ar-SA"/>
              </w:rPr>
              <w:t>783</w:t>
            </w:r>
            <w:r>
              <w:rPr>
                <w:rFonts w:ascii="Arial" w:hAnsi="Arial" w:eastAsia="Times New Roman" w:cs="Times New Roman"/>
                <w:sz w:val="18"/>
                <w:lang w:val="en-GB" w:eastAsia="en-US" w:bidi="ar-SA"/>
              </w:rPr>
              <w:t xml:space="preserve"> MHz</w:t>
            </w:r>
          </w:p>
        </w:tc>
        <w:tc>
          <w:tcPr>
            <w:tcW w:w="90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FDD</w:t>
            </w: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p>
    <w:p>
      <w:pPr>
        <w:keepNext w:val="0"/>
        <w:keepLines w:val="0"/>
        <w:pageBreakBefore w:val="0"/>
        <w:widowControl/>
        <w:numPr>
          <w:ilvl w:val="0"/>
          <w:numId w:val="6"/>
        </w:numPr>
        <w:kinsoku/>
        <w:wordWrap/>
        <w:overflowPunct/>
        <w:topLinePunct w:val="0"/>
        <w:autoSpaceDE/>
        <w:autoSpaceDN/>
        <w:bidi w:val="0"/>
        <w:adjustRightInd/>
        <w:snapToGrid w:val="0"/>
        <w:spacing w:before="157" w:beforeLines="50" w:after="157" w:afterLines="50" w:line="240" w:lineRule="auto"/>
        <w:ind w:left="0" w:leftChars="0" w:firstLine="0" w:firstLineChars="0"/>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Channel bandwidth</w:t>
      </w:r>
    </w:p>
    <w:p>
      <w:pPr>
        <w:keepNext w:val="0"/>
        <w:keepLines w:val="0"/>
        <w:pageBreakBefore w:val="0"/>
        <w:widowControl/>
        <w:numPr>
          <w:ilvl w:val="0"/>
          <w:numId w:val="0"/>
        </w:numPr>
        <w:kinsoku/>
        <w:wordWrap/>
        <w:overflowPunct/>
        <w:topLinePunct w:val="0"/>
        <w:autoSpaceDE/>
        <w:autoSpaceDN/>
        <w:bidi w:val="0"/>
        <w:adjustRightInd/>
        <w:snapToGrid w:val="0"/>
        <w:spacing w:before="157" w:beforeLines="50" w:after="157" w:afterLines="50" w:line="240" w:lineRule="auto"/>
        <w:ind w:leftChars="0"/>
        <w:jc w:val="both"/>
        <w:textAlignment w:val="auto"/>
        <w:outlineLvl w:val="9"/>
        <w:rPr>
          <w:rFonts w:hint="default" w:cs="Times New Roman"/>
          <w:b/>
          <w:bCs/>
          <w:i w:val="0"/>
          <w:iCs w:val="0"/>
          <w:sz w:val="20"/>
          <w:szCs w:val="20"/>
          <w:highlight w:val="none"/>
          <w:lang w:val="en-US" w:eastAsia="zh-CN"/>
        </w:rPr>
      </w:pPr>
      <w:r>
        <w:rPr>
          <w:rFonts w:hint="eastAsia" w:cs="Times New Roman"/>
          <w:b w:val="0"/>
          <w:bCs w:val="0"/>
          <w:i w:val="0"/>
          <w:iCs w:val="0"/>
          <w:sz w:val="20"/>
          <w:szCs w:val="20"/>
          <w:highlight w:val="none"/>
          <w:lang w:val="en-US" w:eastAsia="zh-CN"/>
        </w:rPr>
        <w:t>According to the objectives in WI, we can require the channel bandwidth for band n68 in Table 2-2.</w:t>
      </w:r>
    </w:p>
    <w:p>
      <w:pPr>
        <w:keepNext/>
        <w:keepLines/>
        <w:pageBreakBefore w:val="0"/>
        <w:kinsoku/>
        <w:wordWrap/>
        <w:overflowPunct/>
        <w:topLinePunct w:val="0"/>
        <w:autoSpaceDE/>
        <w:autoSpaceDN/>
        <w:bidi w:val="0"/>
        <w:snapToGrid w:val="0"/>
        <w:spacing w:before="60" w:after="180"/>
        <w:jc w:val="center"/>
        <w:rPr>
          <w:rFonts w:ascii="Arial" w:hAnsi="Arial" w:eastAsia="Yu Mincho" w:cs="Times New Roman"/>
          <w:b/>
          <w:lang w:val="en-GB" w:eastAsia="en-US" w:bidi="ar-SA"/>
        </w:rPr>
      </w:pPr>
      <w:r>
        <w:rPr>
          <w:rFonts w:ascii="Arial" w:hAnsi="Arial" w:eastAsia="Yu Mincho" w:cs="Times New Roman"/>
          <w:b/>
          <w:lang w:val="en-GB" w:eastAsia="en-US" w:bidi="ar-SA"/>
        </w:rPr>
        <w:t xml:space="preserve">Table </w:t>
      </w:r>
      <w:r>
        <w:rPr>
          <w:rFonts w:hint="eastAsia" w:ascii="Arial" w:hAnsi="Arial" w:eastAsia="宋体" w:cs="Times New Roman"/>
          <w:b/>
          <w:lang w:val="en-US" w:eastAsia="zh-CN" w:bidi="ar-SA"/>
        </w:rPr>
        <w:t>2</w:t>
      </w:r>
      <w:r>
        <w:rPr>
          <w:rFonts w:ascii="Arial" w:hAnsi="Arial" w:eastAsia="Yu Mincho" w:cs="Times New Roman"/>
          <w:b/>
          <w:lang w:val="en-GB" w:eastAsia="en-US" w:bidi="ar-SA"/>
        </w:rPr>
        <w:t>-</w:t>
      </w:r>
      <w:r>
        <w:rPr>
          <w:rFonts w:hint="eastAsia" w:ascii="Arial" w:hAnsi="Arial" w:eastAsia="宋体" w:cs="Times New Roman"/>
          <w:b/>
          <w:lang w:val="en-US" w:eastAsia="zh-CN" w:bidi="ar-SA"/>
        </w:rPr>
        <w:t>2</w:t>
      </w:r>
      <w:r>
        <w:rPr>
          <w:rFonts w:ascii="Arial" w:hAnsi="Arial" w:eastAsia="Yu Mincho" w:cs="Times New Roman"/>
          <w:b/>
          <w:lang w:val="en-GB" w:eastAsia="en-US" w:bidi="ar-SA"/>
        </w:rPr>
        <w:t xml:space="preserve"> </w:t>
      </w:r>
      <w:r>
        <w:rPr>
          <w:rFonts w:hint="eastAsia" w:ascii="Arial" w:hAnsi="Arial" w:eastAsia="宋体" w:cs="Times New Roman"/>
          <w:b/>
          <w:lang w:val="en-US" w:eastAsia="zh-CN" w:bidi="ar-SA"/>
        </w:rPr>
        <w:t xml:space="preserve"> </w:t>
      </w:r>
      <w:r>
        <w:rPr>
          <w:rFonts w:ascii="Arial" w:hAnsi="Arial" w:eastAsia="Yu Mincho" w:cs="Times New Roman"/>
          <w:b/>
          <w:lang w:val="en-GB" w:eastAsia="en-US" w:bidi="ar-SA"/>
        </w:rPr>
        <w:t>Channel bandwidths for each NR band</w:t>
      </w:r>
    </w:p>
    <w:tbl>
      <w:tblPr>
        <w:tblStyle w:val="17"/>
        <w:tblW w:w="11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7" w:type="dxa"/>
            <w:vMerge w:val="restart"/>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NR Band</w:t>
            </w:r>
          </w:p>
        </w:tc>
        <w:tc>
          <w:tcPr>
            <w:tcW w:w="709" w:type="dxa"/>
            <w:vMerge w:val="restart"/>
          </w:tcPr>
          <w:p>
            <w:pPr>
              <w:keepNext/>
              <w:keepLines/>
              <w:pageBreakBefore w:val="0"/>
              <w:kinsoku/>
              <w:wordWrap/>
              <w:overflowPunct/>
              <w:topLinePunct w:val="0"/>
              <w:autoSpaceDE/>
              <w:autoSpaceDN/>
              <w:bidi w:val="0"/>
              <w:snapToGrid w:val="0"/>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SCS (kHz)</w:t>
            </w:r>
          </w:p>
        </w:tc>
        <w:tc>
          <w:tcPr>
            <w:tcW w:w="10199" w:type="dxa"/>
            <w:gridSpan w:val="16"/>
          </w:tcPr>
          <w:p>
            <w:pPr>
              <w:keepNext/>
              <w:keepLines/>
              <w:pageBreakBefore w:val="0"/>
              <w:kinsoku/>
              <w:wordWrap/>
              <w:overflowPunct/>
              <w:topLinePunct w:val="0"/>
              <w:autoSpaceDE/>
              <w:autoSpaceDN/>
              <w:bidi w:val="0"/>
              <w:snapToGrid w:val="0"/>
              <w:spacing w:after="0"/>
              <w:jc w:val="center"/>
              <w:rPr>
                <w:rFonts w:ascii="Arial" w:hAnsi="Arial" w:eastAsia="Yu Mincho" w:cs="Times New Roman"/>
                <w:b/>
                <w:sz w:val="18"/>
                <w:lang w:val="en-GB" w:eastAsia="en-US" w:bidi="ar-SA"/>
              </w:rPr>
            </w:pPr>
            <w:r>
              <w:rPr>
                <w:rFonts w:ascii="Arial" w:hAnsi="Arial" w:eastAsia="Yu Mincho" w:cs="Times New Roman"/>
                <w:b/>
                <w:sz w:val="18"/>
                <w:lang w:val="en-GB" w:eastAsia="en-US" w:bidi="ar-SA"/>
              </w:rPr>
              <w:t>U</w:t>
            </w:r>
            <w:r>
              <w:rPr>
                <w:rFonts w:ascii="Arial" w:hAnsi="Arial" w:eastAsia="Times New Roman" w:cs="Times New Roman"/>
                <w:b/>
                <w:sz w:val="18"/>
                <w:lang w:val="en-GB" w:eastAsia="en-US" w:bidi="ar-SA"/>
              </w:rPr>
              <w:t>E Channel bandwidth (M</w:t>
            </w:r>
            <w:r>
              <w:rPr>
                <w:rFonts w:ascii="Arial" w:hAnsi="Arial" w:eastAsia="Yu Mincho" w:cs="Times New Roman"/>
                <w:b/>
                <w:sz w:val="18"/>
                <w:lang w:val="en-GB" w:eastAsia="en-US" w:bidi="ar-SA"/>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7" w:type="dxa"/>
            <w:vMerge w:val="continue"/>
            <w:tcBorders>
              <w:bottom w:val="single" w:color="auto" w:sz="4" w:space="0"/>
            </w:tcBorders>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p>
        </w:tc>
        <w:tc>
          <w:tcPr>
            <w:tcW w:w="709" w:type="dxa"/>
            <w:vMerge w:val="continue"/>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p>
        </w:tc>
        <w:tc>
          <w:tcPr>
            <w:tcW w:w="566" w:type="dxa"/>
          </w:tcPr>
          <w:p>
            <w:pPr>
              <w:keepNext/>
              <w:keepLines/>
              <w:pageBreakBefore w:val="0"/>
              <w:kinsoku/>
              <w:wordWrap/>
              <w:overflowPunct/>
              <w:topLinePunct w:val="0"/>
              <w:autoSpaceDE/>
              <w:autoSpaceDN/>
              <w:bidi w:val="0"/>
              <w:snapToGrid w:val="0"/>
              <w:spacing w:after="0"/>
              <w:jc w:val="center"/>
              <w:rPr>
                <w:rFonts w:ascii="Arial" w:hAnsi="Arial" w:eastAsia="宋体" w:cs="Times New Roman"/>
                <w:b/>
                <w:sz w:val="18"/>
                <w:lang w:val="en-GB" w:eastAsia="zh-CN" w:bidi="ar-SA"/>
              </w:rPr>
            </w:pPr>
            <w:r>
              <w:rPr>
                <w:rFonts w:ascii="Arial" w:hAnsi="Arial" w:eastAsia="Times New Roman" w:cs="Times New Roman"/>
                <w:b/>
                <w:sz w:val="18"/>
                <w:lang w:val="en-GB" w:eastAsia="zh-CN" w:bidi="ar-SA"/>
              </w:rPr>
              <w:t>3</w:t>
            </w:r>
          </w:p>
        </w:tc>
        <w:tc>
          <w:tcPr>
            <w:tcW w:w="566" w:type="dxa"/>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r>
              <w:rPr>
                <w:rFonts w:hint="eastAsia" w:ascii="Arial" w:hAnsi="Arial" w:eastAsia="宋体"/>
                <w:b/>
                <w:sz w:val="18"/>
                <w:szCs w:val="20"/>
                <w:lang w:val="en-GB" w:eastAsia="zh-CN"/>
              </w:rPr>
              <w:t>5</w:t>
            </w:r>
          </w:p>
        </w:tc>
        <w:tc>
          <w:tcPr>
            <w:tcW w:w="637" w:type="dxa"/>
            <w:tcMar>
              <w:left w:w="28" w:type="dxa"/>
              <w:right w:w="28" w:type="dxa"/>
            </w:tcMar>
          </w:tcPr>
          <w:p>
            <w:pPr>
              <w:keepNext/>
              <w:keepLines/>
              <w:pageBreakBefore w:val="0"/>
              <w:kinsoku/>
              <w:wordWrap/>
              <w:overflowPunct/>
              <w:topLinePunct w:val="0"/>
              <w:autoSpaceDE/>
              <w:autoSpaceDN/>
              <w:bidi w:val="0"/>
              <w:snapToGrid w:val="0"/>
              <w:spacing w:after="0" w:line="240" w:lineRule="auto"/>
              <w:jc w:val="center"/>
              <w:rPr>
                <w:rFonts w:ascii="Arial" w:hAnsi="Arial" w:eastAsia="宋体"/>
                <w:b/>
                <w:sz w:val="18"/>
                <w:szCs w:val="20"/>
                <w:lang w:val="en-GB" w:eastAsia="ko-KR"/>
              </w:rPr>
            </w:pPr>
            <w:r>
              <w:rPr>
                <w:rFonts w:hint="eastAsia" w:ascii="Arial" w:hAnsi="Arial" w:eastAsia="宋体"/>
                <w:b/>
                <w:sz w:val="18"/>
                <w:szCs w:val="20"/>
                <w:lang w:val="en-GB" w:eastAsia="zh-CN"/>
              </w:rPr>
              <w:t>1</w:t>
            </w:r>
            <w:r>
              <w:rPr>
                <w:rFonts w:ascii="Arial" w:hAnsi="Arial" w:eastAsia="宋体"/>
                <w:b/>
                <w:sz w:val="18"/>
                <w:szCs w:val="20"/>
                <w:lang w:val="en-GB" w:eastAsia="zh-CN"/>
              </w:rPr>
              <w:t>0</w:t>
            </w:r>
          </w:p>
        </w:tc>
        <w:tc>
          <w:tcPr>
            <w:tcW w:w="638" w:type="dxa"/>
            <w:tcMar>
              <w:left w:w="28" w:type="dxa"/>
              <w:right w:w="28" w:type="dxa"/>
            </w:tcMar>
          </w:tcPr>
          <w:p>
            <w:pPr>
              <w:keepNext/>
              <w:keepLines/>
              <w:pageBreakBefore w:val="0"/>
              <w:kinsoku/>
              <w:wordWrap/>
              <w:overflowPunct/>
              <w:topLinePunct w:val="0"/>
              <w:autoSpaceDE/>
              <w:autoSpaceDN/>
              <w:bidi w:val="0"/>
              <w:snapToGrid w:val="0"/>
              <w:spacing w:after="0" w:line="240" w:lineRule="auto"/>
              <w:jc w:val="center"/>
              <w:rPr>
                <w:rFonts w:ascii="Arial" w:hAnsi="Arial" w:eastAsia="宋体"/>
                <w:b/>
                <w:sz w:val="18"/>
                <w:szCs w:val="20"/>
                <w:lang w:val="en-GB" w:eastAsia="ko-KR"/>
              </w:rPr>
            </w:pPr>
            <w:r>
              <w:rPr>
                <w:rFonts w:hint="eastAsia" w:ascii="Arial" w:hAnsi="Arial" w:eastAsia="宋体"/>
                <w:b/>
                <w:sz w:val="18"/>
                <w:szCs w:val="20"/>
                <w:lang w:val="en-GB" w:eastAsia="zh-CN"/>
              </w:rPr>
              <w:t>1</w:t>
            </w:r>
            <w:r>
              <w:rPr>
                <w:rFonts w:ascii="Arial" w:hAnsi="Arial" w:eastAsia="宋体"/>
                <w:b/>
                <w:sz w:val="18"/>
                <w:szCs w:val="20"/>
                <w:lang w:val="en-GB" w:eastAsia="zh-CN"/>
              </w:rPr>
              <w:t>5</w:t>
            </w:r>
          </w:p>
        </w:tc>
        <w:tc>
          <w:tcPr>
            <w:tcW w:w="708" w:type="dxa"/>
            <w:tcMar>
              <w:left w:w="28" w:type="dxa"/>
              <w:right w:w="28" w:type="dxa"/>
            </w:tcMar>
          </w:tcPr>
          <w:p>
            <w:pPr>
              <w:keepNext/>
              <w:keepLines/>
              <w:pageBreakBefore w:val="0"/>
              <w:kinsoku/>
              <w:wordWrap/>
              <w:overflowPunct/>
              <w:topLinePunct w:val="0"/>
              <w:autoSpaceDE/>
              <w:autoSpaceDN/>
              <w:bidi w:val="0"/>
              <w:snapToGrid w:val="0"/>
              <w:spacing w:after="0" w:line="240" w:lineRule="auto"/>
              <w:jc w:val="center"/>
              <w:rPr>
                <w:rFonts w:ascii="Arial" w:hAnsi="Arial" w:eastAsia="宋体"/>
                <w:b/>
                <w:sz w:val="18"/>
                <w:szCs w:val="20"/>
                <w:lang w:val="en-GB" w:eastAsia="ko-KR"/>
              </w:rPr>
            </w:pPr>
            <w:r>
              <w:rPr>
                <w:rFonts w:hint="eastAsia" w:ascii="Arial" w:hAnsi="Arial" w:eastAsia="宋体"/>
                <w:b/>
                <w:sz w:val="18"/>
                <w:szCs w:val="20"/>
                <w:lang w:val="en-GB" w:eastAsia="zh-CN"/>
              </w:rPr>
              <w:t>2</w:t>
            </w:r>
            <w:r>
              <w:rPr>
                <w:rFonts w:ascii="Arial" w:hAnsi="Arial" w:eastAsia="宋体"/>
                <w:b/>
                <w:sz w:val="18"/>
                <w:szCs w:val="20"/>
                <w:lang w:val="en-GB" w:eastAsia="zh-CN"/>
              </w:rPr>
              <w:t>0</w:t>
            </w:r>
          </w:p>
        </w:tc>
        <w:tc>
          <w:tcPr>
            <w:tcW w:w="567" w:type="dxa"/>
            <w:tcMar>
              <w:left w:w="28" w:type="dxa"/>
              <w:right w:w="28" w:type="dxa"/>
            </w:tcMar>
          </w:tcPr>
          <w:p>
            <w:pPr>
              <w:keepNext/>
              <w:keepLines/>
              <w:pageBreakBefore w:val="0"/>
              <w:kinsoku/>
              <w:wordWrap/>
              <w:overflowPunct/>
              <w:topLinePunct w:val="0"/>
              <w:autoSpaceDE/>
              <w:autoSpaceDN/>
              <w:bidi w:val="0"/>
              <w:snapToGrid w:val="0"/>
              <w:spacing w:after="0" w:line="240" w:lineRule="auto"/>
              <w:jc w:val="center"/>
              <w:rPr>
                <w:rFonts w:ascii="Arial" w:hAnsi="Arial" w:eastAsia="宋体"/>
                <w:b/>
                <w:sz w:val="18"/>
                <w:szCs w:val="20"/>
                <w:lang w:val="en-GB" w:eastAsia="ko-KR"/>
              </w:rPr>
            </w:pPr>
            <w:r>
              <w:rPr>
                <w:rFonts w:ascii="Arial" w:hAnsi="Arial" w:eastAsia="宋体"/>
                <w:b/>
                <w:sz w:val="18"/>
                <w:szCs w:val="20"/>
                <w:lang w:val="en-GB" w:eastAsia="zh-CN"/>
              </w:rPr>
              <w:t>25</w:t>
            </w:r>
          </w:p>
        </w:tc>
        <w:tc>
          <w:tcPr>
            <w:tcW w:w="567" w:type="dxa"/>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r>
              <w:rPr>
                <w:rFonts w:hint="eastAsia" w:ascii="Arial" w:hAnsi="Arial" w:eastAsia="宋体"/>
                <w:b/>
                <w:sz w:val="18"/>
                <w:szCs w:val="20"/>
                <w:lang w:val="en-GB" w:eastAsia="zh-CN"/>
              </w:rPr>
              <w:t>3</w:t>
            </w:r>
            <w:r>
              <w:rPr>
                <w:rFonts w:ascii="Arial" w:hAnsi="Arial" w:eastAsia="宋体"/>
                <w:b/>
                <w:sz w:val="18"/>
                <w:szCs w:val="20"/>
                <w:lang w:val="en-GB" w:eastAsia="zh-CN"/>
              </w:rPr>
              <w:t>0</w:t>
            </w:r>
          </w:p>
        </w:tc>
        <w:tc>
          <w:tcPr>
            <w:tcW w:w="709" w:type="dxa"/>
          </w:tcPr>
          <w:p>
            <w:pPr>
              <w:keepLines/>
              <w:pageBreakBefore w:val="0"/>
              <w:kinsoku/>
              <w:wordWrap/>
              <w:overflowPunct/>
              <w:topLinePunct w:val="0"/>
              <w:autoSpaceDE/>
              <w:autoSpaceDN/>
              <w:bidi w:val="0"/>
              <w:snapToGrid w:val="0"/>
              <w:spacing w:after="0" w:line="240" w:lineRule="auto"/>
              <w:jc w:val="center"/>
              <w:rPr>
                <w:rFonts w:ascii="Arial" w:hAnsi="Arial" w:eastAsia="宋体"/>
                <w:b/>
                <w:sz w:val="18"/>
                <w:szCs w:val="20"/>
                <w:lang w:val="en-GB" w:eastAsia="zh-CN"/>
              </w:rPr>
            </w:pPr>
            <w:r>
              <w:rPr>
                <w:rFonts w:ascii="Arial" w:hAnsi="Arial" w:eastAsia="宋体"/>
                <w:b/>
                <w:sz w:val="18"/>
                <w:szCs w:val="20"/>
                <w:lang w:val="en-GB" w:eastAsia="zh-CN"/>
              </w:rPr>
              <w:t>35</w:t>
            </w:r>
          </w:p>
        </w:tc>
        <w:tc>
          <w:tcPr>
            <w:tcW w:w="709" w:type="dxa"/>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r>
              <w:rPr>
                <w:rFonts w:hint="eastAsia" w:ascii="Arial" w:hAnsi="Arial" w:eastAsia="宋体"/>
                <w:b/>
                <w:sz w:val="18"/>
                <w:szCs w:val="20"/>
                <w:lang w:val="en-GB" w:eastAsia="zh-CN"/>
              </w:rPr>
              <w:t>4</w:t>
            </w:r>
            <w:r>
              <w:rPr>
                <w:rFonts w:ascii="Arial" w:hAnsi="Arial" w:eastAsia="宋体"/>
                <w:b/>
                <w:sz w:val="18"/>
                <w:szCs w:val="20"/>
                <w:lang w:val="en-GB" w:eastAsia="zh-CN"/>
              </w:rPr>
              <w:t>0</w:t>
            </w:r>
          </w:p>
        </w:tc>
        <w:tc>
          <w:tcPr>
            <w:tcW w:w="709" w:type="dxa"/>
          </w:tcPr>
          <w:p>
            <w:pPr>
              <w:keepLines/>
              <w:pageBreakBefore w:val="0"/>
              <w:kinsoku/>
              <w:wordWrap/>
              <w:overflowPunct/>
              <w:topLinePunct w:val="0"/>
              <w:autoSpaceDE/>
              <w:autoSpaceDN/>
              <w:bidi w:val="0"/>
              <w:snapToGrid w:val="0"/>
              <w:spacing w:after="0" w:line="240" w:lineRule="auto"/>
              <w:jc w:val="center"/>
              <w:rPr>
                <w:rFonts w:ascii="Arial" w:hAnsi="Arial" w:eastAsia="宋体"/>
                <w:b/>
                <w:sz w:val="18"/>
                <w:szCs w:val="20"/>
                <w:lang w:val="en-GB" w:eastAsia="zh-CN"/>
              </w:rPr>
            </w:pPr>
            <w:r>
              <w:rPr>
                <w:rFonts w:ascii="Arial" w:hAnsi="Arial" w:eastAsia="宋体"/>
                <w:b/>
                <w:sz w:val="18"/>
                <w:szCs w:val="20"/>
                <w:lang w:val="en-GB" w:eastAsia="zh-CN"/>
              </w:rPr>
              <w:t>45</w:t>
            </w:r>
          </w:p>
        </w:tc>
        <w:tc>
          <w:tcPr>
            <w:tcW w:w="709" w:type="dxa"/>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r>
              <w:rPr>
                <w:rFonts w:hint="eastAsia" w:ascii="Arial" w:hAnsi="Arial" w:eastAsia="宋体"/>
                <w:b/>
                <w:sz w:val="18"/>
                <w:szCs w:val="20"/>
                <w:lang w:val="en-GB" w:eastAsia="zh-CN"/>
              </w:rPr>
              <w:t>50</w:t>
            </w:r>
          </w:p>
        </w:tc>
        <w:tc>
          <w:tcPr>
            <w:tcW w:w="567" w:type="dxa"/>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r>
              <w:rPr>
                <w:rFonts w:hint="eastAsia" w:ascii="Arial" w:hAnsi="Arial" w:eastAsia="宋体"/>
                <w:b/>
                <w:sz w:val="18"/>
                <w:szCs w:val="20"/>
                <w:lang w:val="en-GB" w:eastAsia="zh-CN"/>
              </w:rPr>
              <w:t>6</w:t>
            </w:r>
            <w:r>
              <w:rPr>
                <w:rFonts w:ascii="Arial" w:hAnsi="Arial" w:eastAsia="宋体"/>
                <w:b/>
                <w:sz w:val="18"/>
                <w:szCs w:val="20"/>
                <w:lang w:val="en-GB" w:eastAsia="zh-CN"/>
              </w:rPr>
              <w:t>0</w:t>
            </w:r>
          </w:p>
        </w:tc>
        <w:tc>
          <w:tcPr>
            <w:tcW w:w="709" w:type="dxa"/>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r>
              <w:rPr>
                <w:rFonts w:hint="eastAsia" w:ascii="Arial" w:hAnsi="Arial" w:eastAsia="宋体"/>
                <w:b/>
                <w:sz w:val="18"/>
                <w:szCs w:val="20"/>
                <w:lang w:val="en-GB" w:eastAsia="zh-CN"/>
              </w:rPr>
              <w:t>7</w:t>
            </w:r>
            <w:r>
              <w:rPr>
                <w:rFonts w:ascii="Arial" w:hAnsi="Arial" w:eastAsia="宋体"/>
                <w:b/>
                <w:sz w:val="18"/>
                <w:szCs w:val="20"/>
                <w:lang w:val="en-GB" w:eastAsia="zh-CN"/>
              </w:rPr>
              <w:t>0</w:t>
            </w:r>
          </w:p>
        </w:tc>
        <w:tc>
          <w:tcPr>
            <w:tcW w:w="567" w:type="dxa"/>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r>
              <w:rPr>
                <w:rFonts w:hint="eastAsia" w:ascii="Arial" w:hAnsi="Arial" w:eastAsia="宋体"/>
                <w:b/>
                <w:sz w:val="18"/>
                <w:szCs w:val="20"/>
                <w:lang w:val="en-GB" w:eastAsia="zh-CN"/>
              </w:rPr>
              <w:t>8</w:t>
            </w:r>
            <w:r>
              <w:rPr>
                <w:rFonts w:ascii="Arial" w:hAnsi="Arial" w:eastAsia="宋体"/>
                <w:b/>
                <w:sz w:val="18"/>
                <w:szCs w:val="20"/>
                <w:lang w:val="en-GB" w:eastAsia="zh-CN"/>
              </w:rPr>
              <w:t>0</w:t>
            </w:r>
          </w:p>
        </w:tc>
        <w:tc>
          <w:tcPr>
            <w:tcW w:w="628" w:type="dxa"/>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r>
              <w:rPr>
                <w:rFonts w:hint="eastAsia" w:ascii="Arial" w:hAnsi="Arial" w:eastAsia="宋体"/>
                <w:b/>
                <w:sz w:val="18"/>
                <w:szCs w:val="20"/>
                <w:lang w:val="en-GB" w:eastAsia="zh-CN"/>
              </w:rPr>
              <w:t>9</w:t>
            </w:r>
            <w:r>
              <w:rPr>
                <w:rFonts w:ascii="Arial" w:hAnsi="Arial" w:eastAsia="宋体"/>
                <w:b/>
                <w:sz w:val="18"/>
                <w:szCs w:val="20"/>
                <w:lang w:val="en-GB" w:eastAsia="zh-CN"/>
              </w:rPr>
              <w:t>0</w:t>
            </w:r>
          </w:p>
        </w:tc>
        <w:tc>
          <w:tcPr>
            <w:tcW w:w="643" w:type="dxa"/>
            <w:tcMar>
              <w:left w:w="28" w:type="dxa"/>
              <w:right w:w="28" w:type="dxa"/>
            </w:tcMar>
          </w:tcPr>
          <w:p>
            <w:pPr>
              <w:keepLines/>
              <w:pageBreakBefore w:val="0"/>
              <w:kinsoku/>
              <w:wordWrap/>
              <w:overflowPunct/>
              <w:topLinePunct w:val="0"/>
              <w:autoSpaceDE/>
              <w:autoSpaceDN/>
              <w:bidi w:val="0"/>
              <w:snapToGrid w:val="0"/>
              <w:spacing w:after="0" w:line="240" w:lineRule="auto"/>
              <w:jc w:val="center"/>
              <w:rPr>
                <w:rFonts w:ascii="Arial" w:hAnsi="Arial" w:eastAsia="Yu Mincho"/>
                <w:b/>
                <w:sz w:val="18"/>
                <w:szCs w:val="20"/>
                <w:lang w:val="en-GB"/>
              </w:rPr>
            </w:pPr>
            <w:r>
              <w:rPr>
                <w:rFonts w:hint="eastAsia" w:ascii="Arial" w:hAnsi="Arial" w:eastAsia="宋体"/>
                <w:b/>
                <w:sz w:val="18"/>
                <w:szCs w:val="20"/>
                <w:lang w:val="en-GB" w:eastAsia="zh-CN"/>
              </w:rPr>
              <w:t>1</w:t>
            </w:r>
            <w:r>
              <w:rPr>
                <w:rFonts w:ascii="Arial" w:hAnsi="Arial" w:eastAsia="宋体"/>
                <w:b/>
                <w:sz w:val="18"/>
                <w:szCs w:val="20"/>
                <w:lang w:val="en-GB"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hint="default" w:ascii="Arial" w:hAnsi="Arial" w:eastAsia="宋体" w:cs="Times New Roman"/>
                <w:sz w:val="18"/>
                <w:lang w:val="en-US" w:eastAsia="zh-CN" w:bidi="ar-SA"/>
              </w:rPr>
            </w:pPr>
            <w:r>
              <w:rPr>
                <w:rFonts w:ascii="Arial" w:hAnsi="Arial" w:eastAsia="Yu Mincho" w:cs="Times New Roman"/>
                <w:sz w:val="18"/>
                <w:lang w:val="en-GB" w:eastAsia="en-US" w:bidi="ar-SA"/>
              </w:rPr>
              <w:t>n</w:t>
            </w:r>
            <w:r>
              <w:rPr>
                <w:rFonts w:hint="eastAsia" w:ascii="Arial" w:hAnsi="Arial" w:eastAsia="宋体" w:cs="Times New Roman"/>
                <w:sz w:val="18"/>
                <w:lang w:val="en-US" w:eastAsia="zh-CN" w:bidi="ar-SA"/>
              </w:rPr>
              <w:t>68</w:t>
            </w: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15</w:t>
            </w:r>
          </w:p>
        </w:tc>
        <w:tc>
          <w:tcPr>
            <w:tcW w:w="566" w:type="dxa"/>
          </w:tcPr>
          <w:p>
            <w:pPr>
              <w:keepNext/>
              <w:keepLines/>
              <w:pageBreakBefore w:val="0"/>
              <w:kinsoku/>
              <w:wordWrap/>
              <w:overflowPunct/>
              <w:topLinePunct w:val="0"/>
              <w:autoSpaceDE/>
              <w:autoSpaceDN/>
              <w:bidi w:val="0"/>
              <w:snapToGrid w:val="0"/>
              <w:spacing w:after="0"/>
              <w:jc w:val="center"/>
              <w:rPr>
                <w:rFonts w:hint="eastAsia" w:ascii="Arial" w:hAnsi="Arial" w:eastAsia="宋体" w:cs="Times New Roman"/>
                <w:sz w:val="18"/>
                <w:lang w:val="en-US" w:eastAsia="zh-CN" w:bidi="ar-SA"/>
              </w:rPr>
            </w:pPr>
          </w:p>
        </w:tc>
        <w:tc>
          <w:tcPr>
            <w:tcW w:w="566"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5</w:t>
            </w:r>
          </w:p>
        </w:tc>
        <w:tc>
          <w:tcPr>
            <w:tcW w:w="63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w:t>
            </w:r>
          </w:p>
        </w:tc>
        <w:tc>
          <w:tcPr>
            <w:tcW w:w="638"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15</w:t>
            </w:r>
          </w:p>
        </w:tc>
        <w:tc>
          <w:tcPr>
            <w:tcW w:w="708"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szCs w:val="18"/>
                <w:lang w:val="en-GB" w:eastAsia="en-US" w:bidi="ar-SA"/>
              </w:rPr>
            </w:pPr>
          </w:p>
        </w:tc>
        <w:tc>
          <w:tcPr>
            <w:tcW w:w="709" w:type="dxa"/>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szCs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szCs w:val="18"/>
                <w:lang w:val="en-GB" w:eastAsia="en-US" w:bidi="ar-SA"/>
              </w:rPr>
            </w:pPr>
          </w:p>
        </w:tc>
        <w:tc>
          <w:tcPr>
            <w:tcW w:w="709" w:type="dxa"/>
          </w:tcPr>
          <w:p>
            <w:pPr>
              <w:keepNext/>
              <w:keepLines/>
              <w:pageBreakBefore w:val="0"/>
              <w:kinsoku/>
              <w:wordWrap/>
              <w:overflowPunct/>
              <w:topLinePunct w:val="0"/>
              <w:autoSpaceDE/>
              <w:autoSpaceDN/>
              <w:bidi w:val="0"/>
              <w:snapToGrid w:val="0"/>
              <w:spacing w:after="0"/>
              <w:jc w:val="center"/>
              <w:rPr>
                <w:rFonts w:ascii="Arial" w:hAnsi="Arial" w:eastAsia="Yu Mincho" w:cs="Arial"/>
                <w:sz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628"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643"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30</w:t>
            </w:r>
          </w:p>
        </w:tc>
        <w:tc>
          <w:tcPr>
            <w:tcW w:w="566" w:type="dxa"/>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637" w:type="dxa"/>
            <w:tcMar>
              <w:left w:w="28" w:type="dxa"/>
              <w:right w:w="28" w:type="dxa"/>
            </w:tcMar>
          </w:tcPr>
          <w:p>
            <w:pPr>
              <w:keepNext/>
              <w:keepLines/>
              <w:pageBreakBefore w:val="0"/>
              <w:kinsoku/>
              <w:wordWrap/>
              <w:overflowPunct/>
              <w:topLinePunct w:val="0"/>
              <w:autoSpaceDE/>
              <w:autoSpaceDN/>
              <w:bidi w:val="0"/>
              <w:snapToGrid w:val="0"/>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10</w:t>
            </w:r>
          </w:p>
        </w:tc>
        <w:tc>
          <w:tcPr>
            <w:tcW w:w="638"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15</w:t>
            </w:r>
          </w:p>
        </w:tc>
        <w:tc>
          <w:tcPr>
            <w:tcW w:w="708"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szCs w:val="18"/>
                <w:lang w:val="en-GB" w:eastAsia="en-US" w:bidi="ar-SA"/>
              </w:rPr>
            </w:pPr>
          </w:p>
        </w:tc>
        <w:tc>
          <w:tcPr>
            <w:tcW w:w="709" w:type="dxa"/>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szCs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szCs w:val="18"/>
                <w:lang w:val="en-GB" w:eastAsia="en-US" w:bidi="ar-SA"/>
              </w:rPr>
            </w:pPr>
          </w:p>
        </w:tc>
        <w:tc>
          <w:tcPr>
            <w:tcW w:w="709" w:type="dxa"/>
          </w:tcPr>
          <w:p>
            <w:pPr>
              <w:keepNext/>
              <w:keepLines/>
              <w:pageBreakBefore w:val="0"/>
              <w:kinsoku/>
              <w:wordWrap/>
              <w:overflowPunct/>
              <w:topLinePunct w:val="0"/>
              <w:autoSpaceDE/>
              <w:autoSpaceDN/>
              <w:bidi w:val="0"/>
              <w:snapToGrid w:val="0"/>
              <w:spacing w:after="0"/>
              <w:jc w:val="center"/>
              <w:rPr>
                <w:rFonts w:ascii="Arial" w:hAnsi="Arial" w:eastAsia="Yu Mincho" w:cs="Arial"/>
                <w:sz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628"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643"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60</w:t>
            </w:r>
          </w:p>
        </w:tc>
        <w:tc>
          <w:tcPr>
            <w:tcW w:w="566" w:type="dxa"/>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6"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63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638"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708"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p>
        </w:tc>
        <w:tc>
          <w:tcPr>
            <w:tcW w:w="567"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szCs w:val="18"/>
                <w:lang w:val="en-GB" w:eastAsia="en-US" w:bidi="ar-SA"/>
              </w:rPr>
            </w:pPr>
          </w:p>
        </w:tc>
        <w:tc>
          <w:tcPr>
            <w:tcW w:w="709" w:type="dxa"/>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szCs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szCs w:val="18"/>
                <w:lang w:val="en-GB" w:eastAsia="en-US" w:bidi="ar-SA"/>
              </w:rPr>
            </w:pPr>
          </w:p>
        </w:tc>
        <w:tc>
          <w:tcPr>
            <w:tcW w:w="709" w:type="dxa"/>
          </w:tcPr>
          <w:p>
            <w:pPr>
              <w:keepNext/>
              <w:keepLines/>
              <w:pageBreakBefore w:val="0"/>
              <w:kinsoku/>
              <w:wordWrap/>
              <w:overflowPunct/>
              <w:topLinePunct w:val="0"/>
              <w:autoSpaceDE/>
              <w:autoSpaceDN/>
              <w:bidi w:val="0"/>
              <w:snapToGrid w:val="0"/>
              <w:spacing w:after="0"/>
              <w:jc w:val="center"/>
              <w:rPr>
                <w:rFonts w:ascii="Arial" w:hAnsi="Arial" w:eastAsia="Yu Mincho" w:cs="Arial"/>
                <w:sz w:val="18"/>
                <w:lang w:val="en-GB" w:eastAsia="en-US" w:bidi="ar-SA"/>
              </w:rPr>
            </w:pPr>
          </w:p>
        </w:tc>
        <w:tc>
          <w:tcPr>
            <w:tcW w:w="709"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709"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567"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628" w:type="dxa"/>
            <w:tcMar>
              <w:left w:w="28" w:type="dxa"/>
              <w:right w:w="28" w:type="dxa"/>
            </w:tcMa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c>
          <w:tcPr>
            <w:tcW w:w="643" w:type="dxa"/>
            <w:tcMar>
              <w:left w:w="28" w:type="dxa"/>
              <w:right w:w="28" w:type="dxa"/>
            </w:tcMar>
            <w:vAlign w:val="center"/>
          </w:tcPr>
          <w:p>
            <w:pPr>
              <w:keepNext/>
              <w:keepLines/>
              <w:pageBreakBefore w:val="0"/>
              <w:kinsoku/>
              <w:wordWrap/>
              <w:overflowPunct/>
              <w:topLinePunct w:val="0"/>
              <w:autoSpaceDE/>
              <w:autoSpaceDN/>
              <w:bidi w:val="0"/>
              <w:snapToGrid w:val="0"/>
              <w:spacing w:after="0"/>
              <w:jc w:val="center"/>
              <w:rPr>
                <w:rFonts w:ascii="Arial" w:hAnsi="Arial" w:eastAsia="宋体" w:cs="Times New Roman"/>
                <w:sz w:val="18"/>
                <w:lang w:val="en-GB" w:eastAsia="en-US" w:bidi="ar-SA"/>
              </w:rPr>
            </w:pP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p>
    <w:p>
      <w:pPr>
        <w:keepNext w:val="0"/>
        <w:keepLines w:val="0"/>
        <w:pageBreakBefore w:val="0"/>
        <w:widowControl/>
        <w:numPr>
          <w:ilvl w:val="0"/>
          <w:numId w:val="6"/>
        </w:numPr>
        <w:kinsoku/>
        <w:wordWrap/>
        <w:overflowPunct/>
        <w:topLinePunct w:val="0"/>
        <w:autoSpaceDE/>
        <w:autoSpaceDN/>
        <w:bidi w:val="0"/>
        <w:adjustRightInd/>
        <w:snapToGrid w:val="0"/>
        <w:spacing w:before="157" w:beforeLines="50" w:after="157" w:afterLines="50" w:line="240" w:lineRule="auto"/>
        <w:ind w:left="0" w:leftChars="0" w:firstLine="0" w:firstLineChars="0"/>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Channel raster</w:t>
      </w:r>
    </w:p>
    <w:p>
      <w:pPr>
        <w:keepNext w:val="0"/>
        <w:keepLines w:val="0"/>
        <w:pageBreakBefore w:val="0"/>
        <w:widowControl/>
        <w:numPr>
          <w:ilvl w:val="0"/>
          <w:numId w:val="0"/>
        </w:numPr>
        <w:kinsoku/>
        <w:wordWrap/>
        <w:overflowPunct/>
        <w:topLinePunct w:val="0"/>
        <w:autoSpaceDE/>
        <w:autoSpaceDN/>
        <w:bidi w:val="0"/>
        <w:adjustRightInd/>
        <w:snapToGrid w:val="0"/>
        <w:spacing w:before="157" w:beforeLines="50" w:after="157" w:afterLines="50" w:line="240" w:lineRule="auto"/>
        <w:ind w:leftChars="0"/>
        <w:jc w:val="both"/>
        <w:textAlignment w:val="auto"/>
        <w:outlineLvl w:val="9"/>
        <w:rPr>
          <w:rFonts w:hint="default" w:cs="Times New Roman"/>
          <w:b/>
          <w:bCs/>
          <w:i w:val="0"/>
          <w:iCs w:val="0"/>
          <w:sz w:val="20"/>
          <w:szCs w:val="20"/>
          <w:highlight w:val="none"/>
          <w:lang w:val="en-US" w:eastAsia="zh-CN"/>
        </w:rPr>
      </w:pPr>
      <w:r>
        <w:rPr>
          <w:rFonts w:hint="eastAsia" w:cs="Times New Roman"/>
          <w:b w:val="0"/>
          <w:bCs w:val="0"/>
          <w:i w:val="0"/>
          <w:iCs w:val="0"/>
          <w:sz w:val="20"/>
          <w:szCs w:val="20"/>
          <w:highlight w:val="none"/>
          <w:lang w:val="en-US" w:eastAsia="zh-CN"/>
        </w:rPr>
        <w:t>Applicable NR-ARFCN for new operating bands n68 is listed in Table 2-3 and Table 2-4.</w:t>
      </w:r>
    </w:p>
    <w:p>
      <w:pPr>
        <w:keepNext/>
        <w:keepLines/>
        <w:pageBreakBefore w:val="0"/>
        <w:kinsoku/>
        <w:wordWrap/>
        <w:overflowPunct/>
        <w:topLinePunct w:val="0"/>
        <w:autoSpaceDE/>
        <w:autoSpaceDN/>
        <w:bidi w:val="0"/>
        <w:snapToGrid w:val="0"/>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宋体" w:cs="Times New Roman"/>
          <w:b/>
          <w:lang w:val="en-US" w:eastAsia="zh-CN" w:bidi="ar-SA"/>
        </w:rPr>
        <w:t>2</w:t>
      </w:r>
      <w:r>
        <w:rPr>
          <w:rFonts w:ascii="Arial" w:hAnsi="Arial" w:eastAsia="Times New Roman" w:cs="Times New Roman"/>
          <w:b/>
          <w:lang w:val="en-GB" w:eastAsia="en-US" w:bidi="ar-SA"/>
        </w:rPr>
        <w:t>-</w:t>
      </w:r>
      <w:r>
        <w:rPr>
          <w:rFonts w:hint="eastAsia" w:ascii="Arial" w:hAnsi="Arial" w:eastAsia="宋体" w:cs="Times New Roman"/>
          <w:b/>
          <w:lang w:val="en-US" w:eastAsia="zh-CN" w:bidi="ar-SA"/>
        </w:rPr>
        <w:t xml:space="preserve">3 </w:t>
      </w:r>
      <w:r>
        <w:rPr>
          <w:rFonts w:ascii="Arial" w:hAnsi="Arial" w:eastAsia="Times New Roman" w:cs="Times New Roman"/>
          <w:b/>
          <w:lang w:val="en-GB" w:eastAsia="en-US" w:bidi="ar-SA"/>
        </w:rPr>
        <w:t xml:space="preserve"> Applicable NR-ARFCN per operating band</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NR operating band</w:t>
            </w:r>
          </w:p>
        </w:tc>
        <w:tc>
          <w:tcPr>
            <w:tcW w:w="114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ΔF</w:t>
            </w:r>
            <w:r>
              <w:rPr>
                <w:rFonts w:ascii="Arial" w:hAnsi="Arial" w:eastAsia="Times New Roman" w:cs="Times New Roman"/>
                <w:b/>
                <w:sz w:val="18"/>
                <w:vertAlign w:val="subscript"/>
                <w:lang w:val="en-GB" w:eastAsia="en-US" w:bidi="ar-SA"/>
              </w:rPr>
              <w:t>Raster</w:t>
            </w:r>
          </w:p>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lang w:val="en-GB" w:eastAsia="en-US" w:bidi="ar-SA"/>
              </w:rPr>
            </w:pPr>
            <w:r>
              <w:rPr>
                <w:rFonts w:ascii="Arial" w:hAnsi="Arial" w:eastAsia="Times New Roman" w:cs="Times New Roman"/>
                <w:b/>
                <w:sz w:val="18"/>
                <w:lang w:val="en-GB" w:eastAsia="en-US" w:bidi="ar-SA"/>
              </w:rPr>
              <w:t>(kHz)</w:t>
            </w:r>
            <w:r>
              <w:rPr>
                <w:rFonts w:ascii="Arial" w:hAnsi="Arial" w:eastAsia="Times New Roman" w:cs="Times New Roman"/>
                <w:b/>
                <w:sz w:val="18"/>
                <w:vertAlign w:val="subscript"/>
                <w:lang w:val="en-GB" w:eastAsia="en-US" w:bidi="ar-SA"/>
              </w:rPr>
              <w:t xml:space="preserve"> </w:t>
            </w:r>
          </w:p>
        </w:tc>
        <w:tc>
          <w:tcPr>
            <w:tcW w:w="287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lang w:val="en-GB" w:eastAsia="en-US" w:bidi="ar-SA"/>
              </w:rPr>
            </w:pPr>
            <w:r>
              <w:rPr>
                <w:rFonts w:ascii="Arial" w:hAnsi="Arial" w:eastAsia="Yu Mincho" w:cs="Times New Roman"/>
                <w:b/>
                <w:sz w:val="18"/>
                <w:lang w:val="en-GB" w:eastAsia="en-US" w:bidi="ar-SA"/>
              </w:rPr>
              <w:t>Uplink</w:t>
            </w:r>
          </w:p>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lang w:val="en-GB" w:eastAsia="en-US" w:bidi="ar-SA"/>
              </w:rPr>
            </w:pPr>
            <w:r>
              <w:rPr>
                <w:rFonts w:ascii="Arial" w:hAnsi="Arial" w:eastAsia="Yu Mincho" w:cs="Times New Roman"/>
                <w:b/>
                <w:sz w:val="18"/>
                <w:lang w:val="en-GB" w:eastAsia="en-US" w:bidi="ar-SA"/>
              </w:rPr>
              <w:t>Downlink</w:t>
            </w:r>
          </w:p>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vertAlign w:val="subscript"/>
                <w:lang w:val="en-GB" w:eastAsia="en-US" w:bidi="ar-SA"/>
              </w:rPr>
            </w:pPr>
            <w:r>
              <w:rPr>
                <w:rFonts w:ascii="Arial" w:hAnsi="Arial" w:eastAsia="Yu Mincho" w:cs="Times New Roman"/>
                <w:b/>
                <w:sz w:val="18"/>
                <w:lang w:val="en-GB" w:eastAsia="en-US" w:bidi="ar-SA"/>
              </w:rPr>
              <w:t>Range of N</w:t>
            </w:r>
            <w:r>
              <w:rPr>
                <w:rFonts w:ascii="Arial" w:hAnsi="Arial" w:eastAsia="Yu Mincho" w:cs="Times New Roman"/>
                <w:b/>
                <w:sz w:val="18"/>
                <w:vertAlign w:val="subscript"/>
                <w:lang w:val="en-GB" w:eastAsia="en-US" w:bidi="ar-SA"/>
              </w:rPr>
              <w:t>REF</w:t>
            </w:r>
          </w:p>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lang w:val="en-GB" w:eastAsia="en-US" w:bidi="ar-SA"/>
              </w:rPr>
            </w:pPr>
            <w:r>
              <w:rPr>
                <w:rFonts w:ascii="Arial" w:hAnsi="Arial" w:eastAsia="Yu Mincho" w:cs="Times New Roman"/>
                <w:b/>
                <w:sz w:val="18"/>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n</w:t>
            </w:r>
            <w:r>
              <w:rPr>
                <w:rFonts w:hint="eastAsia" w:ascii="Arial" w:hAnsi="Arial" w:eastAsia="宋体" w:cs="Times New Roman"/>
                <w:sz w:val="18"/>
                <w:lang w:val="en-US" w:eastAsia="zh-CN" w:bidi="ar-SA"/>
              </w:rPr>
              <w:t>68</w:t>
            </w:r>
          </w:p>
        </w:tc>
        <w:tc>
          <w:tcPr>
            <w:tcW w:w="114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ascii="Arial" w:hAnsi="Arial" w:eastAsia="Yu Mincho" w:cs="Times New Roman"/>
                <w:sz w:val="18"/>
                <w:lang w:val="en-GB" w:eastAsia="en-US" w:bidi="ar-SA"/>
              </w:rPr>
              <w:t>100</w:t>
            </w:r>
          </w:p>
        </w:tc>
        <w:tc>
          <w:tcPr>
            <w:tcW w:w="2876"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hint="eastAsia" w:ascii="Arial" w:hAnsi="Arial" w:eastAsia="宋体" w:cs="Times New Roman"/>
                <w:sz w:val="18"/>
                <w:lang w:val="en-US" w:eastAsia="zh-CN" w:bidi="ar-SA"/>
              </w:rPr>
              <w:t>1396</w:t>
            </w:r>
            <w:r>
              <w:rPr>
                <w:rFonts w:ascii="Arial" w:hAnsi="Arial" w:eastAsia="Times New Roman" w:cs="Times New Roman"/>
                <w:sz w:val="18"/>
                <w:lang w:val="en-GB" w:eastAsia="en-US" w:bidi="ar-SA"/>
              </w:rPr>
              <w:t>00</w:t>
            </w:r>
            <w:r>
              <w:rPr>
                <w:rFonts w:ascii="Arial" w:hAnsi="Arial" w:eastAsia="Yu Mincho" w:cs="Times New Roman"/>
                <w:sz w:val="18"/>
                <w:lang w:val="en-GB" w:eastAsia="en-US" w:bidi="ar-SA"/>
              </w:rPr>
              <w:t xml:space="preserve"> – &lt;20&gt; – </w:t>
            </w:r>
            <w:r>
              <w:rPr>
                <w:rFonts w:hint="eastAsia" w:ascii="Arial" w:hAnsi="Arial" w:eastAsia="宋体" w:cs="Times New Roman"/>
                <w:sz w:val="18"/>
                <w:lang w:val="en-US" w:eastAsia="zh-CN" w:bidi="ar-SA"/>
              </w:rPr>
              <w:t>1456</w:t>
            </w:r>
            <w:r>
              <w:rPr>
                <w:rFonts w:ascii="Arial" w:hAnsi="Arial" w:eastAsia="Yu Mincho" w:cs="Times New Roman"/>
                <w:sz w:val="18"/>
                <w:lang w:val="en-GB" w:eastAsia="en-US" w:bidi="ar-SA"/>
              </w:rPr>
              <w:t>00</w:t>
            </w:r>
          </w:p>
        </w:tc>
        <w:tc>
          <w:tcPr>
            <w:tcW w:w="287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snapToGrid w:val="0"/>
              <w:spacing w:after="0"/>
              <w:jc w:val="center"/>
              <w:rPr>
                <w:rFonts w:ascii="Arial" w:hAnsi="Arial" w:eastAsia="Yu Mincho" w:cs="Times New Roman"/>
                <w:sz w:val="18"/>
                <w:lang w:val="en-GB" w:eastAsia="en-US" w:bidi="ar-SA"/>
              </w:rPr>
            </w:pPr>
            <w:r>
              <w:rPr>
                <w:rFonts w:hint="eastAsia" w:ascii="Arial" w:hAnsi="Arial" w:eastAsia="宋体" w:cs="Times New Roman"/>
                <w:sz w:val="18"/>
                <w:lang w:val="en-US" w:eastAsia="zh-CN" w:bidi="ar-SA"/>
              </w:rPr>
              <w:t>1506</w:t>
            </w:r>
            <w:r>
              <w:rPr>
                <w:rFonts w:ascii="Arial" w:hAnsi="Arial" w:eastAsia="Times New Roman" w:cs="Times New Roman"/>
                <w:sz w:val="18"/>
                <w:lang w:val="en-GB" w:eastAsia="en-US" w:bidi="ar-SA"/>
              </w:rPr>
              <w:t>00</w:t>
            </w:r>
            <w:r>
              <w:rPr>
                <w:rFonts w:ascii="Arial" w:hAnsi="Arial" w:eastAsia="Yu Mincho" w:cs="Times New Roman"/>
                <w:sz w:val="18"/>
                <w:lang w:val="en-GB" w:eastAsia="en-US" w:bidi="ar-SA"/>
              </w:rPr>
              <w:t xml:space="preserve"> – &lt;20&gt; – </w:t>
            </w:r>
            <w:r>
              <w:rPr>
                <w:rFonts w:hint="eastAsia" w:ascii="Arial" w:hAnsi="Arial" w:eastAsia="宋体" w:cs="Times New Roman"/>
                <w:sz w:val="18"/>
                <w:lang w:val="en-US" w:eastAsia="zh-CN" w:bidi="ar-SA"/>
              </w:rPr>
              <w:t>1566</w:t>
            </w:r>
            <w:r>
              <w:rPr>
                <w:rFonts w:ascii="Arial" w:hAnsi="Arial" w:eastAsia="Yu Mincho" w:cs="Times New Roman"/>
                <w:sz w:val="18"/>
                <w:lang w:val="en-GB" w:eastAsia="en-US" w:bidi="ar-SA"/>
              </w:rPr>
              <w:t>00</w:t>
            </w:r>
          </w:p>
        </w:tc>
      </w:tr>
    </w:tbl>
    <w:p>
      <w:pPr>
        <w:pStyle w:val="37"/>
      </w:pPr>
      <w:r>
        <w:t xml:space="preserve">Table </w:t>
      </w:r>
      <w:r>
        <w:rPr>
          <w:rFonts w:hint="eastAsia"/>
          <w:lang w:val="en-US" w:eastAsia="zh-CN"/>
        </w:rPr>
        <w:t>2</w:t>
      </w:r>
      <w:r>
        <w:t>-</w:t>
      </w:r>
      <w:r>
        <w:rPr>
          <w:rFonts w:hint="eastAsia"/>
          <w:lang w:val="en-US" w:eastAsia="zh-CN"/>
        </w:rPr>
        <w:t xml:space="preserve">4 </w:t>
      </w:r>
      <w:r>
        <w:t xml:space="preserve"> Applicable NR-ARFCN per operating band for enhanced channel raster</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1084"/>
        <w:gridCol w:w="2473"/>
        <w:gridCol w:w="2513"/>
        <w:gridCol w:w="1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t>NR operating band</w:t>
            </w:r>
          </w:p>
        </w:tc>
        <w:tc>
          <w:tcPr>
            <w:tcW w:w="1084"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ΔF</w:t>
            </w:r>
            <w:r>
              <w:rPr>
                <w:vertAlign w:val="subscript"/>
              </w:rPr>
              <w:t>Raster</w:t>
            </w:r>
          </w:p>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t>(kHz)</w:t>
            </w:r>
            <w:r>
              <w:rPr>
                <w:vertAlign w:val="subscript"/>
              </w:rPr>
              <w:t xml:space="preserve"> </w:t>
            </w:r>
          </w:p>
        </w:tc>
        <w:tc>
          <w:tcPr>
            <w:tcW w:w="2473"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rPr>
                <w:rFonts w:eastAsia="Yu Mincho"/>
              </w:rPr>
              <w:t>Uplink</w:t>
            </w:r>
          </w:p>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vertAlign w:val="subscript"/>
              </w:rPr>
            </w:pPr>
            <w:r>
              <w:rPr>
                <w:rFonts w:eastAsia="Yu Mincho"/>
              </w:rPr>
              <w:t>Range of N</w:t>
            </w:r>
            <w:r>
              <w:rPr>
                <w:rFonts w:eastAsia="Yu Mincho"/>
                <w:vertAlign w:val="subscript"/>
              </w:rPr>
              <w:t>REF</w:t>
            </w:r>
          </w:p>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rPr>
                <w:rFonts w:eastAsia="Yu Mincho"/>
              </w:rPr>
              <w:t>(First – &lt;Step size&gt; – Last)</w:t>
            </w:r>
          </w:p>
        </w:tc>
        <w:tc>
          <w:tcPr>
            <w:tcW w:w="2513"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rPr>
                <w:rFonts w:eastAsia="Yu Mincho"/>
              </w:rPr>
              <w:t>Downlink</w:t>
            </w:r>
          </w:p>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vertAlign w:val="subscript"/>
              </w:rPr>
            </w:pPr>
            <w:r>
              <w:rPr>
                <w:rFonts w:eastAsia="Yu Mincho"/>
              </w:rPr>
              <w:t>Range of N</w:t>
            </w:r>
            <w:r>
              <w:rPr>
                <w:rFonts w:eastAsia="Yu Mincho"/>
                <w:vertAlign w:val="subscript"/>
              </w:rPr>
              <w:t>REF</w:t>
            </w:r>
          </w:p>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rPr>
                <w:rFonts w:eastAsia="Yu Mincho"/>
              </w:rPr>
              <w:t>(First – &lt;Step size&gt; – Last)</w:t>
            </w:r>
          </w:p>
        </w:tc>
        <w:tc>
          <w:tcPr>
            <w:tcW w:w="1942" w:type="dxa"/>
            <w:tcBorders>
              <w:top w:val="single" w:color="auto" w:sz="4" w:space="0"/>
              <w:left w:val="single" w:color="auto" w:sz="4" w:space="0"/>
              <w:bottom w:val="single" w:color="auto" w:sz="4" w:space="0"/>
              <w:right w:val="single" w:color="auto" w:sz="4" w:space="0"/>
            </w:tcBorders>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rPr>
                <w:rFonts w:eastAsia="Yu Mincho"/>
              </w:rPr>
              <w:t>Mandatory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2"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Yu Mincho"/>
                <w:highlight w:val="red"/>
                <w:lang w:val="en-US"/>
              </w:rPr>
            </w:pPr>
            <w:r>
              <w:rPr>
                <w:rFonts w:hint="eastAsia"/>
                <w:lang w:val="en-US" w:eastAsia="zh-CN"/>
              </w:rPr>
              <w:t>n68</w:t>
            </w:r>
          </w:p>
        </w:tc>
        <w:tc>
          <w:tcPr>
            <w:tcW w:w="1084"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rPr>
                <w:rFonts w:hint="eastAsia" w:eastAsia="宋体"/>
                <w:lang w:val="en-US" w:eastAsia="zh-CN"/>
              </w:rPr>
              <w:t>10</w:t>
            </w:r>
          </w:p>
        </w:tc>
        <w:tc>
          <w:tcPr>
            <w:tcW w:w="2473"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rPr>
                <w:rFonts w:hint="eastAsia" w:ascii="Arial" w:hAnsi="Arial" w:eastAsia="宋体" w:cs="Times New Roman"/>
                <w:sz w:val="18"/>
                <w:lang w:val="en-US" w:eastAsia="zh-CN" w:bidi="ar-SA"/>
              </w:rPr>
              <w:t>1396</w:t>
            </w:r>
            <w:r>
              <w:rPr>
                <w:rFonts w:ascii="Arial" w:hAnsi="Arial" w:eastAsia="Times New Roman" w:cs="Times New Roman"/>
                <w:sz w:val="18"/>
                <w:lang w:val="en-GB" w:eastAsia="en-US" w:bidi="ar-SA"/>
              </w:rPr>
              <w:t>00</w:t>
            </w:r>
            <w:r>
              <w:rPr>
                <w:rFonts w:ascii="Arial" w:hAnsi="Arial" w:eastAsia="Yu Mincho" w:cs="Times New Roman"/>
                <w:sz w:val="18"/>
                <w:lang w:val="en-GB" w:eastAsia="en-US" w:bidi="ar-SA"/>
              </w:rPr>
              <w:t xml:space="preserve"> – &lt;2&gt; – </w:t>
            </w:r>
            <w:r>
              <w:rPr>
                <w:rFonts w:hint="eastAsia" w:ascii="Arial" w:hAnsi="Arial" w:eastAsia="宋体" w:cs="Times New Roman"/>
                <w:sz w:val="18"/>
                <w:lang w:val="en-US" w:eastAsia="zh-CN" w:bidi="ar-SA"/>
              </w:rPr>
              <w:t>1456</w:t>
            </w:r>
            <w:r>
              <w:rPr>
                <w:rFonts w:ascii="Arial" w:hAnsi="Arial" w:eastAsia="Yu Mincho" w:cs="Times New Roman"/>
                <w:sz w:val="18"/>
                <w:lang w:val="en-GB" w:eastAsia="en-US" w:bidi="ar-SA"/>
              </w:rPr>
              <w:t>00</w:t>
            </w:r>
          </w:p>
        </w:tc>
        <w:tc>
          <w:tcPr>
            <w:tcW w:w="2513" w:type="dxa"/>
            <w:tcBorders>
              <w:top w:val="single" w:color="auto" w:sz="4" w:space="0"/>
              <w:left w:val="single" w:color="auto" w:sz="4" w:space="0"/>
              <w:bottom w:val="single" w:color="auto" w:sz="4" w:space="0"/>
              <w:right w:val="single" w:color="auto" w:sz="4" w:space="0"/>
            </w:tcBorders>
            <w:vAlign w:val="top"/>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eastAsia="Yu Mincho"/>
              </w:rPr>
            </w:pPr>
            <w:r>
              <w:rPr>
                <w:rFonts w:hint="eastAsia" w:ascii="Arial" w:hAnsi="Arial" w:eastAsia="宋体" w:cs="Times New Roman"/>
                <w:sz w:val="18"/>
                <w:lang w:val="en-US" w:eastAsia="zh-CN" w:bidi="ar-SA"/>
              </w:rPr>
              <w:t>1506</w:t>
            </w:r>
            <w:r>
              <w:rPr>
                <w:rFonts w:ascii="Arial" w:hAnsi="Arial" w:eastAsia="Times New Roman" w:cs="Times New Roman"/>
                <w:sz w:val="18"/>
                <w:lang w:val="en-GB" w:eastAsia="en-US" w:bidi="ar-SA"/>
              </w:rPr>
              <w:t>00</w:t>
            </w:r>
            <w:r>
              <w:rPr>
                <w:rFonts w:ascii="Arial" w:hAnsi="Arial" w:eastAsia="Yu Mincho" w:cs="Times New Roman"/>
                <w:sz w:val="18"/>
                <w:lang w:val="en-GB" w:eastAsia="en-US" w:bidi="ar-SA"/>
              </w:rPr>
              <w:t xml:space="preserve"> – &lt;2&gt; – </w:t>
            </w:r>
            <w:r>
              <w:rPr>
                <w:rFonts w:hint="eastAsia" w:ascii="Arial" w:hAnsi="Arial" w:eastAsia="宋体" w:cs="Times New Roman"/>
                <w:sz w:val="18"/>
                <w:lang w:val="en-US" w:eastAsia="zh-CN" w:bidi="ar-SA"/>
              </w:rPr>
              <w:t>1566</w:t>
            </w:r>
            <w:r>
              <w:rPr>
                <w:rFonts w:ascii="Arial" w:hAnsi="Arial" w:eastAsia="Yu Mincho" w:cs="Times New Roman"/>
                <w:sz w:val="18"/>
                <w:lang w:val="en-GB" w:eastAsia="en-US" w:bidi="ar-SA"/>
              </w:rPr>
              <w:t>00</w:t>
            </w:r>
          </w:p>
        </w:tc>
        <w:tc>
          <w:tcPr>
            <w:tcW w:w="1942" w:type="dxa"/>
            <w:tcBorders>
              <w:top w:val="single" w:color="auto" w:sz="4" w:space="0"/>
              <w:left w:val="single" w:color="auto" w:sz="4" w:space="0"/>
              <w:bottom w:val="single" w:color="auto" w:sz="4" w:space="0"/>
              <w:right w:val="single" w:color="auto" w:sz="4" w:space="0"/>
            </w:tcBorders>
          </w:tcPr>
          <w:p>
            <w:pPr>
              <w:pStyle w:val="35"/>
              <w:keepNext/>
              <w:keepLines/>
              <w:pageBreakBefore w:val="0"/>
              <w:widowControl/>
              <w:kinsoku/>
              <w:wordWrap/>
              <w:overflowPunct/>
              <w:topLinePunct w:val="0"/>
              <w:autoSpaceDE/>
              <w:autoSpaceDN/>
              <w:bidi w:val="0"/>
              <w:adjustRightInd/>
              <w:snapToGrid w:val="0"/>
              <w:spacing w:after="0" w:line="240" w:lineRule="auto"/>
              <w:textAlignment w:val="auto"/>
            </w:pP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p>
    <w:p>
      <w:pPr>
        <w:keepNext w:val="0"/>
        <w:keepLines w:val="0"/>
        <w:pageBreakBefore w:val="0"/>
        <w:widowControl/>
        <w:numPr>
          <w:ilvl w:val="0"/>
          <w:numId w:val="6"/>
        </w:numPr>
        <w:kinsoku/>
        <w:wordWrap/>
        <w:overflowPunct/>
        <w:topLinePunct w:val="0"/>
        <w:autoSpaceDE/>
        <w:autoSpaceDN/>
        <w:bidi w:val="0"/>
        <w:adjustRightInd/>
        <w:snapToGrid w:val="0"/>
        <w:spacing w:before="157" w:beforeLines="50" w:after="157" w:afterLines="50" w:line="240" w:lineRule="auto"/>
        <w:ind w:left="0" w:leftChars="0" w:firstLine="0" w:firstLineChars="0"/>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Synchronization raster</w:t>
      </w:r>
    </w:p>
    <w:p>
      <w:pPr>
        <w:keepNext w:val="0"/>
        <w:keepLines w:val="0"/>
        <w:pageBreakBefore w:val="0"/>
        <w:widowControl/>
        <w:numPr>
          <w:ilvl w:val="0"/>
          <w:numId w:val="0"/>
        </w:numPr>
        <w:kinsoku/>
        <w:wordWrap/>
        <w:overflowPunct/>
        <w:topLinePunct w:val="0"/>
        <w:autoSpaceDE/>
        <w:autoSpaceDN/>
        <w:bidi w:val="0"/>
        <w:adjustRightInd/>
        <w:snapToGrid w:val="0"/>
        <w:spacing w:before="157" w:beforeLines="50" w:after="157" w:afterLines="50" w:line="240" w:lineRule="auto"/>
        <w:ind w:leftChars="0"/>
        <w:jc w:val="both"/>
        <w:textAlignment w:val="auto"/>
        <w:outlineLvl w:val="9"/>
        <w:rPr>
          <w:rFonts w:hint="eastAsia" w:cs="Times New Roman"/>
          <w:b/>
          <w:bCs/>
          <w:i w:val="0"/>
          <w:iCs w:val="0"/>
          <w:sz w:val="20"/>
          <w:szCs w:val="20"/>
          <w:highlight w:val="none"/>
          <w:lang w:val="en-US" w:eastAsia="zh-CN"/>
        </w:rPr>
      </w:pPr>
      <w:r>
        <w:rPr>
          <w:rFonts w:hint="eastAsia" w:cs="Times New Roman"/>
          <w:b w:val="0"/>
          <w:bCs w:val="0"/>
          <w:i w:val="0"/>
          <w:iCs w:val="0"/>
          <w:sz w:val="20"/>
          <w:szCs w:val="20"/>
          <w:highlight w:val="none"/>
          <w:lang w:val="en-US" w:eastAsia="zh-CN"/>
        </w:rPr>
        <w:t>The applicable SS raster for n68 is listed in Table 2-4.</w:t>
      </w:r>
    </w:p>
    <w:p>
      <w:pPr>
        <w:keepNext/>
        <w:keepLines/>
        <w:pageBreakBefore w:val="0"/>
        <w:widowControl/>
        <w:kinsoku/>
        <w:wordWrap/>
        <w:overflowPunct/>
        <w:topLinePunct w:val="0"/>
        <w:autoSpaceDE/>
        <w:autoSpaceDN/>
        <w:bidi w:val="0"/>
        <w:adjustRightInd/>
        <w:snapToGrid w:val="0"/>
        <w:spacing w:before="60" w:after="180"/>
        <w:jc w:val="center"/>
        <w:textAlignment w:val="auto"/>
        <w:rPr>
          <w:rFonts w:ascii="Arial" w:hAnsi="Arial" w:eastAsia="Times New Roman" w:cs="Times New Roman"/>
          <w:b/>
          <w:highlight w:val="none"/>
          <w:lang w:val="en-GB" w:eastAsia="en-US" w:bidi="ar-SA"/>
        </w:rPr>
      </w:pPr>
      <w:r>
        <w:rPr>
          <w:rFonts w:ascii="Arial" w:hAnsi="Arial" w:eastAsia="Times New Roman" w:cs="Times New Roman"/>
          <w:b/>
          <w:highlight w:val="none"/>
          <w:lang w:val="en-GB" w:eastAsia="en-US" w:bidi="ar-SA"/>
        </w:rPr>
        <w:t xml:space="preserve">Table </w:t>
      </w:r>
      <w:r>
        <w:rPr>
          <w:rFonts w:hint="eastAsia" w:ascii="Arial" w:hAnsi="Arial" w:eastAsia="宋体" w:cs="Times New Roman"/>
          <w:b/>
          <w:highlight w:val="none"/>
          <w:lang w:val="en-US" w:eastAsia="zh-CN" w:bidi="ar-SA"/>
        </w:rPr>
        <w:t>2</w:t>
      </w:r>
      <w:r>
        <w:rPr>
          <w:rFonts w:ascii="Arial" w:hAnsi="Arial" w:eastAsia="Times New Roman" w:cs="Times New Roman"/>
          <w:b/>
          <w:highlight w:val="none"/>
          <w:lang w:val="en-GB" w:eastAsia="en-US" w:bidi="ar-SA"/>
        </w:rPr>
        <w:t>-</w:t>
      </w:r>
      <w:r>
        <w:rPr>
          <w:rFonts w:hint="eastAsia" w:ascii="Arial" w:hAnsi="Arial" w:eastAsia="宋体" w:cs="Times New Roman"/>
          <w:b/>
          <w:highlight w:val="none"/>
          <w:lang w:val="en-US" w:eastAsia="zh-CN" w:bidi="ar-SA"/>
        </w:rPr>
        <w:t>5</w:t>
      </w:r>
      <w:r>
        <w:rPr>
          <w:rFonts w:ascii="Arial" w:hAnsi="Arial" w:eastAsia="Times New Roman" w:cs="Times New Roman"/>
          <w:b/>
          <w:highlight w:val="none"/>
          <w:lang w:val="en-GB" w:eastAsia="en-US" w:bidi="ar-SA"/>
        </w:rPr>
        <w:t xml:space="preserve"> </w:t>
      </w:r>
      <w:r>
        <w:rPr>
          <w:rFonts w:hint="eastAsia" w:ascii="Arial" w:hAnsi="Arial" w:eastAsia="宋体" w:cs="Times New Roman"/>
          <w:b/>
          <w:highlight w:val="none"/>
          <w:lang w:val="en-US" w:eastAsia="zh-CN" w:bidi="ar-SA"/>
        </w:rPr>
        <w:t xml:space="preserve"> </w:t>
      </w:r>
      <w:r>
        <w:rPr>
          <w:rFonts w:ascii="Arial" w:hAnsi="Arial" w:eastAsia="Times New Roman" w:cs="Times New Roman"/>
          <w:b/>
          <w:highlight w:val="none"/>
          <w:lang w:val="en-GB" w:eastAsia="en-US" w:bidi="ar-SA"/>
        </w:rPr>
        <w:t>Applicable SS raster entries per operating band for above 3 MHz channel bandwidth</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2"/>
        <w:gridCol w:w="2376"/>
        <w:gridCol w:w="2379"/>
        <w:gridCol w:w="2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82"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highlight w:val="none"/>
                <w:lang w:val="en-GB" w:eastAsia="en-US" w:bidi="ar-SA"/>
              </w:rPr>
            </w:pPr>
            <w:r>
              <w:rPr>
                <w:rFonts w:ascii="Arial" w:hAnsi="Arial" w:eastAsia="Yu Mincho" w:cs="Times New Roman"/>
                <w:b/>
                <w:sz w:val="18"/>
                <w:highlight w:val="none"/>
                <w:lang w:val="en-GB" w:eastAsia="en-US" w:bidi="ar-SA"/>
              </w:rPr>
              <w:t>NR operating band</w:t>
            </w:r>
          </w:p>
        </w:tc>
        <w:tc>
          <w:tcPr>
            <w:tcW w:w="237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highlight w:val="none"/>
                <w:lang w:val="en-GB" w:eastAsia="en-US" w:bidi="ar-SA"/>
              </w:rPr>
            </w:pPr>
            <w:r>
              <w:rPr>
                <w:rFonts w:ascii="Arial" w:hAnsi="Arial" w:eastAsia="Yu Mincho" w:cs="Times New Roman"/>
                <w:b/>
                <w:sz w:val="18"/>
                <w:highlight w:val="none"/>
                <w:lang w:val="en-GB" w:eastAsia="en-US" w:bidi="ar-SA"/>
              </w:rPr>
              <w:t>SS Block SCS</w:t>
            </w:r>
          </w:p>
        </w:tc>
        <w:tc>
          <w:tcPr>
            <w:tcW w:w="237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highlight w:val="none"/>
                <w:lang w:val="en-GB" w:eastAsia="en-US" w:bidi="ar-SA"/>
              </w:rPr>
            </w:pPr>
            <w:r>
              <w:rPr>
                <w:rFonts w:ascii="Arial" w:hAnsi="Arial" w:eastAsia="Yu Mincho" w:cs="Times New Roman"/>
                <w:b/>
                <w:sz w:val="18"/>
                <w:highlight w:val="none"/>
                <w:lang w:val="en-GB" w:eastAsia="en-US" w:bidi="ar-SA"/>
              </w:rPr>
              <w:t>SS Block pattern</w:t>
            </w:r>
            <w:r>
              <w:rPr>
                <w:rFonts w:ascii="Arial" w:hAnsi="Arial" w:eastAsia="Yu Mincho" w:cs="Times New Roman"/>
                <w:b/>
                <w:sz w:val="18"/>
                <w:highlight w:val="none"/>
                <w:vertAlign w:val="superscript"/>
                <w:lang w:val="en-GB" w:eastAsia="en-US" w:bidi="ar-SA"/>
              </w:rPr>
              <w:t>1</w:t>
            </w:r>
          </w:p>
        </w:tc>
        <w:tc>
          <w:tcPr>
            <w:tcW w:w="237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highlight w:val="none"/>
                <w:lang w:val="en-GB" w:eastAsia="en-US" w:bidi="ar-SA"/>
              </w:rPr>
            </w:pPr>
            <w:r>
              <w:rPr>
                <w:rFonts w:ascii="Arial" w:hAnsi="Arial" w:eastAsia="Yu Mincho" w:cs="Times New Roman"/>
                <w:b/>
                <w:sz w:val="18"/>
                <w:highlight w:val="none"/>
                <w:lang w:val="en-GB" w:eastAsia="en-US" w:bidi="ar-SA"/>
              </w:rPr>
              <w:t>Range of GSCN</w:t>
            </w:r>
          </w:p>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Yu Mincho" w:cs="Times New Roman"/>
                <w:b/>
                <w:sz w:val="18"/>
                <w:highlight w:val="none"/>
                <w:lang w:val="en-GB" w:eastAsia="en-US" w:bidi="ar-SA"/>
              </w:rPr>
            </w:pPr>
            <w:r>
              <w:rPr>
                <w:rFonts w:ascii="Arial" w:hAnsi="Arial" w:eastAsia="Yu Mincho" w:cs="Times New Roman"/>
                <w:b/>
                <w:sz w:val="18"/>
                <w:highlight w:val="none"/>
                <w:lang w:val="en-GB" w:eastAsia="en-US" w:bidi="ar-SA"/>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2"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hint="default" w:ascii="Arial" w:hAnsi="Arial" w:eastAsia="宋体" w:cs="Times New Roman"/>
                <w:sz w:val="18"/>
                <w:highlight w:val="none"/>
                <w:lang w:val="en-US" w:eastAsia="zh-CN" w:bidi="ar-SA"/>
              </w:rPr>
            </w:pPr>
            <w:r>
              <w:rPr>
                <w:rFonts w:ascii="Arial" w:hAnsi="Arial" w:eastAsia="Times New Roman" w:cs="Times New Roman"/>
                <w:sz w:val="18"/>
                <w:highlight w:val="none"/>
                <w:lang w:val="en-GB" w:eastAsia="en-US" w:bidi="ar-SA"/>
              </w:rPr>
              <w:t>n</w:t>
            </w:r>
            <w:r>
              <w:rPr>
                <w:rFonts w:hint="eastAsia" w:ascii="Arial" w:hAnsi="Arial" w:eastAsia="宋体" w:cs="Times New Roman"/>
                <w:sz w:val="18"/>
                <w:highlight w:val="none"/>
                <w:lang w:val="en-US" w:eastAsia="zh-CN" w:bidi="ar-SA"/>
              </w:rPr>
              <w:t>68</w:t>
            </w:r>
          </w:p>
        </w:tc>
        <w:tc>
          <w:tcPr>
            <w:tcW w:w="237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GB" w:eastAsia="en-US" w:bidi="ar-SA"/>
              </w:rPr>
              <w:t>15 kHz</w:t>
            </w:r>
          </w:p>
        </w:tc>
        <w:tc>
          <w:tcPr>
            <w:tcW w:w="2379"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Times New Roman" w:cs="Times New Roman"/>
                <w:sz w:val="18"/>
                <w:highlight w:val="none"/>
                <w:lang w:val="en-GB" w:eastAsia="en-US" w:bidi="ar-SA"/>
              </w:rPr>
            </w:pPr>
            <w:r>
              <w:rPr>
                <w:rFonts w:ascii="Arial" w:hAnsi="Arial" w:eastAsia="Times New Roman" w:cs="Times New Roman"/>
                <w:sz w:val="18"/>
                <w:highlight w:val="none"/>
                <w:lang w:val="en-US" w:eastAsia="zh-CN" w:bidi="ar-SA"/>
              </w:rPr>
              <w:t xml:space="preserve">Case </w:t>
            </w:r>
            <w:r>
              <w:rPr>
                <w:rFonts w:hint="eastAsia" w:ascii="Arial" w:hAnsi="Arial" w:eastAsia="Times New Roman" w:cs="Times New Roman"/>
                <w:sz w:val="18"/>
                <w:highlight w:val="none"/>
                <w:lang w:val="en-US" w:eastAsia="zh-CN" w:bidi="ar-SA"/>
              </w:rPr>
              <w:t>A</w:t>
            </w:r>
          </w:p>
        </w:tc>
        <w:tc>
          <w:tcPr>
            <w:tcW w:w="237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hint="default" w:ascii="Arial" w:hAnsi="Arial" w:eastAsia="宋体" w:cs="Times New Roman"/>
                <w:sz w:val="18"/>
                <w:highlight w:val="none"/>
                <w:lang w:val="en-US" w:eastAsia="zh-CN" w:bidi="ar-SA"/>
              </w:rPr>
            </w:pPr>
            <w:r>
              <w:rPr>
                <w:rFonts w:hint="eastAsia" w:ascii="Arial" w:hAnsi="Arial" w:eastAsia="宋体" w:cs="Times New Roman"/>
                <w:sz w:val="18"/>
                <w:highlight w:val="none"/>
                <w:lang w:val="en-US" w:eastAsia="zh-CN" w:bidi="ar-SA"/>
              </w:rPr>
              <w:t>1888</w:t>
            </w:r>
            <w:r>
              <w:rPr>
                <w:rFonts w:ascii="Arial" w:hAnsi="Arial" w:eastAsia="Times New Roman" w:cs="Times New Roman"/>
                <w:sz w:val="18"/>
                <w:highlight w:val="none"/>
                <w:lang w:val="en-GB" w:eastAsia="en-US" w:bidi="ar-SA"/>
              </w:rPr>
              <w:t xml:space="preserve"> – &lt;1&gt; – </w:t>
            </w:r>
            <w:r>
              <w:rPr>
                <w:rFonts w:hint="eastAsia" w:ascii="Arial" w:hAnsi="Arial" w:eastAsia="宋体" w:cs="Times New Roman"/>
                <w:sz w:val="18"/>
                <w:highlight w:val="none"/>
                <w:lang w:val="en-US" w:eastAsia="zh-CN" w:bidi="ar-SA"/>
              </w:rPr>
              <w:t>1951</w:t>
            </w: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p>
    <w:p>
      <w:pPr>
        <w:keepNext w:val="0"/>
        <w:keepLines w:val="0"/>
        <w:pageBreakBefore w:val="0"/>
        <w:widowControl/>
        <w:numPr>
          <w:ilvl w:val="0"/>
          <w:numId w:val="6"/>
        </w:numPr>
        <w:kinsoku/>
        <w:wordWrap/>
        <w:overflowPunct/>
        <w:topLinePunct w:val="0"/>
        <w:autoSpaceDE/>
        <w:autoSpaceDN/>
        <w:bidi w:val="0"/>
        <w:adjustRightInd/>
        <w:snapToGrid w:val="0"/>
        <w:spacing w:after="157" w:afterLines="50" w:line="240" w:lineRule="auto"/>
        <w:ind w:left="0" w:leftChars="0" w:firstLine="0" w:firstLineChars="0"/>
        <w:jc w:val="both"/>
        <w:textAlignment w:val="auto"/>
        <w:outlineLvl w:val="9"/>
        <w:rPr>
          <w:rFonts w:hint="default" w:cs="Times New Roman"/>
          <w:b/>
          <w:bCs/>
          <w:i w:val="0"/>
          <w:iCs w:val="0"/>
          <w:sz w:val="20"/>
          <w:szCs w:val="20"/>
          <w:highlight w:val="none"/>
          <w:lang w:val="en-US" w:eastAsia="zh-CN"/>
        </w:rPr>
      </w:pPr>
      <w:r>
        <w:rPr>
          <w:b/>
          <w:bCs/>
        </w:rPr>
        <w:t>TX–RX frequency separation</w:t>
      </w:r>
    </w:p>
    <w:p>
      <w:pPr>
        <w:keepNext/>
        <w:keepLines/>
        <w:pageBreakBefore w:val="0"/>
        <w:widowControl/>
        <w:kinsoku/>
        <w:wordWrap/>
        <w:overflowPunct/>
        <w:topLinePunct w:val="0"/>
        <w:autoSpaceDE/>
        <w:autoSpaceDN/>
        <w:bidi w:val="0"/>
        <w:adjustRightInd/>
        <w:snapToGrid w:val="0"/>
        <w:spacing w:before="60" w:after="180"/>
        <w:jc w:val="center"/>
        <w:textAlignment w:val="auto"/>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宋体" w:cs="Times New Roman"/>
          <w:b/>
          <w:lang w:val="en-US" w:eastAsia="zh-CN" w:bidi="ar-SA"/>
        </w:rPr>
        <w:t>2-6</w:t>
      </w:r>
      <w:r>
        <w:rPr>
          <w:rFonts w:ascii="Arial" w:hAnsi="Arial" w:eastAsia="Times New Roman" w:cs="Times New Roman"/>
          <w:b/>
          <w:lang w:val="en-GB" w:eastAsia="en-US" w:bidi="ar-SA"/>
        </w:rPr>
        <w:t xml:space="preserve"> </w:t>
      </w:r>
      <w:r>
        <w:rPr>
          <w:rFonts w:hint="eastAsia" w:ascii="Arial" w:hAnsi="Arial" w:eastAsia="宋体" w:cs="Times New Roman"/>
          <w:b/>
          <w:lang w:val="en-US" w:eastAsia="zh-CN" w:bidi="ar-SA"/>
        </w:rPr>
        <w:t xml:space="preserve"> </w:t>
      </w:r>
      <w:r>
        <w:rPr>
          <w:rFonts w:ascii="Arial" w:hAnsi="Arial" w:eastAsia="Times New Roman" w:cs="Times New Roman"/>
          <w:b/>
          <w:lang w:val="en-GB" w:eastAsia="en-US" w:bidi="ar-SA"/>
        </w:rPr>
        <w:t>UE TX-RX frequency separation</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cs="Arial"/>
                <w:b/>
                <w:sz w:val="18"/>
                <w:szCs w:val="20"/>
                <w:lang w:val="en-GB"/>
              </w:rPr>
            </w:pPr>
            <w:r>
              <w:rPr>
                <w:rFonts w:ascii="Arial" w:hAnsi="Arial" w:cs="Arial"/>
                <w:b/>
                <w:sz w:val="18"/>
                <w:szCs w:val="20"/>
                <w:lang w:val="en-GB"/>
              </w:rPr>
              <w:t>NR Operating Band</w:t>
            </w:r>
          </w:p>
        </w:tc>
        <w:tc>
          <w:tcPr>
            <w:tcW w:w="2693" w:type="dxa"/>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cs="Arial"/>
                <w:b/>
                <w:sz w:val="18"/>
                <w:szCs w:val="20"/>
                <w:lang w:val="en-GB"/>
              </w:rPr>
            </w:pPr>
            <w:r>
              <w:rPr>
                <w:rFonts w:ascii="Arial" w:hAnsi="Arial" w:cs="Arial"/>
                <w:b/>
                <w:sz w:val="18"/>
                <w:szCs w:val="20"/>
                <w:lang w:val="en-GB"/>
              </w:rPr>
              <w:t xml:space="preserve">TX </w:t>
            </w:r>
            <w:r>
              <w:rPr>
                <w:rFonts w:ascii="Arial" w:hAnsi="Arial" w:cs="v5.0.0"/>
                <w:b/>
                <w:sz w:val="18"/>
                <w:szCs w:val="20"/>
                <w:lang w:val="en-GB"/>
              </w:rPr>
              <w:t>–</w:t>
            </w:r>
            <w:r>
              <w:rPr>
                <w:rFonts w:ascii="Arial" w:hAnsi="Arial" w:cs="Arial"/>
                <w:b/>
                <w:sz w:val="18"/>
                <w:szCs w:val="20"/>
                <w:lang w:val="en-GB"/>
              </w:rPr>
              <w:t xml:space="preserve"> RX </w:t>
            </w:r>
            <w:r>
              <w:rPr>
                <w:rFonts w:ascii="Arial" w:hAnsi="Arial" w:cs="Arial"/>
                <w:b/>
                <w:sz w:val="18"/>
                <w:szCs w:val="20"/>
                <w:lang w:val="en-GB"/>
              </w:rPr>
              <w:br w:type="textWrapping"/>
            </w:r>
            <w:r>
              <w:rPr>
                <w:rFonts w:ascii="Arial" w:hAnsi="Arial" w:cs="Arial"/>
                <w:b/>
                <w:sz w:val="18"/>
                <w:szCs w:val="20"/>
                <w:lang w:val="en-GB"/>
              </w:rPr>
              <w:t>carrier centre frequency</w:t>
            </w:r>
            <w:r>
              <w:rPr>
                <w:rFonts w:ascii="Arial" w:hAnsi="Arial" w:cs="Arial"/>
                <w:b/>
                <w:sz w:val="18"/>
                <w:szCs w:val="20"/>
                <w:lang w:val="en-GB"/>
              </w:rPr>
              <w:br w:type="textWrapping"/>
            </w:r>
            <w:r>
              <w:rPr>
                <w:rFonts w:ascii="Arial" w:hAnsi="Arial" w:cs="Arial"/>
                <w:b/>
                <w:sz w:val="18"/>
                <w:szCs w:val="20"/>
                <w:lang w:val="en-GB"/>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hint="default" w:ascii="Arial" w:hAnsi="Arial" w:eastAsia="Times New Roman" w:cs="Times New Roman"/>
                <w:sz w:val="18"/>
                <w:lang w:val="en-US" w:eastAsia="en-US" w:bidi="ar-SA"/>
              </w:rPr>
            </w:pPr>
            <w:r>
              <w:rPr>
                <w:rFonts w:hint="eastAsia" w:ascii="Arial" w:hAnsi="Arial" w:eastAsia="Times New Roman" w:cs="Times New Roman"/>
                <w:sz w:val="18"/>
                <w:lang w:val="en-US" w:eastAsia="zh-CN" w:bidi="ar-SA"/>
              </w:rPr>
              <w:t>n</w:t>
            </w:r>
            <w:r>
              <w:rPr>
                <w:rFonts w:hint="eastAsia" w:ascii="Arial" w:hAnsi="Arial" w:cs="Times New Roman"/>
                <w:sz w:val="18"/>
                <w:lang w:val="en-US" w:eastAsia="zh-CN" w:bidi="ar-SA"/>
              </w:rPr>
              <w:t>68</w:t>
            </w:r>
          </w:p>
        </w:tc>
        <w:tc>
          <w:tcPr>
            <w:tcW w:w="269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eastAsia="Times New Roman" w:cs="Times New Roman"/>
                <w:sz w:val="18"/>
                <w:lang w:val="en-GB" w:eastAsia="en-US" w:bidi="ar-SA"/>
              </w:rPr>
            </w:pPr>
            <w:r>
              <w:rPr>
                <w:rFonts w:hint="eastAsia" w:ascii="Arial" w:hAnsi="Arial" w:cs="Times New Roman"/>
                <w:sz w:val="18"/>
                <w:lang w:val="en-US" w:eastAsia="zh-CN" w:bidi="ar-SA"/>
              </w:rPr>
              <w:t>55</w:t>
            </w:r>
            <w:r>
              <w:rPr>
                <w:rFonts w:hint="eastAsia" w:ascii="Arial" w:hAnsi="Arial" w:eastAsia="Times New Roman" w:cs="Times New Roman"/>
                <w:sz w:val="18"/>
                <w:lang w:val="en-US" w:eastAsia="zh-CN" w:bidi="ar-SA"/>
              </w:rPr>
              <w:t xml:space="preserve"> MHz</w:t>
            </w: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Approve Table 2-1 to Table 2-6 on system parameters for new Rel-19 specification.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b/>
          <w:bCs w:val="0"/>
          <w:i w:val="0"/>
          <w:iCs w:val="0"/>
          <w:color w:val="auto"/>
          <w:kern w:val="0"/>
          <w:sz w:val="20"/>
          <w:szCs w:val="20"/>
          <w:highlight w:val="none"/>
          <w:u w:val="single"/>
          <w:vertAlign w:val="baseli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w:t>
      </w:r>
      <w:r>
        <w:rPr>
          <w:rFonts w:hint="default" w:ascii="Arial" w:hAnsi="Arial" w:cs="Arial"/>
          <w:b/>
          <w:bCs/>
          <w:i w:val="0"/>
          <w:iCs w:val="0"/>
          <w:sz w:val="22"/>
          <w:szCs w:val="22"/>
          <w:highlight w:val="none"/>
          <w:u w:val="none"/>
          <w:lang w:val="en-US" w:eastAsia="zh-CN"/>
        </w:rPr>
        <w:t xml:space="preserve"> </w:t>
      </w:r>
      <w:r>
        <w:rPr>
          <w:rFonts w:hint="eastAsia" w:ascii="Arial" w:hAnsi="Arial" w:cs="Arial"/>
          <w:b/>
          <w:bCs/>
          <w:i w:val="0"/>
          <w:iCs w:val="0"/>
          <w:sz w:val="22"/>
          <w:szCs w:val="22"/>
          <w:highlight w:val="none"/>
          <w:u w:val="none"/>
          <w:lang w:val="en-US" w:eastAsia="zh-CN"/>
        </w:rPr>
        <w:t xml:space="preserve">RF requirements </w:t>
      </w:r>
    </w:p>
    <w:p>
      <w:pPr>
        <w:keepNext w:val="0"/>
        <w:keepLines w:val="0"/>
        <w:pageBreakBefore w:val="0"/>
        <w:widowControl/>
        <w:numPr>
          <w:ilvl w:val="0"/>
          <w:numId w:val="7"/>
        </w:numPr>
        <w:kinsoku/>
        <w:wordWrap/>
        <w:overflowPunct/>
        <w:topLinePunct w:val="0"/>
        <w:autoSpaceDE/>
        <w:autoSpaceDN/>
        <w:bidi w:val="0"/>
        <w:adjustRightInd/>
        <w:snapToGrid w:val="0"/>
        <w:spacing w:after="157" w:afterLines="50" w:line="240" w:lineRule="auto"/>
        <w:ind w:left="0" w:leftChars="0" w:firstLine="0" w:firstLineChars="0"/>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Maximum output power</w:t>
      </w:r>
    </w:p>
    <w:p>
      <w:pPr>
        <w:keepNext w:val="0"/>
        <w:keepLines w:val="0"/>
        <w:pageBreakBefore w:val="0"/>
        <w:widowControl/>
        <w:numPr>
          <w:ilvl w:val="0"/>
          <w:numId w:val="0"/>
        </w:numPr>
        <w:kinsoku/>
        <w:wordWrap/>
        <w:overflowPunct/>
        <w:topLinePunct w:val="0"/>
        <w:autoSpaceDE/>
        <w:autoSpaceDN/>
        <w:bidi w:val="0"/>
        <w:adjustRightInd/>
        <w:snapToGrid w:val="0"/>
        <w:spacing w:after="157" w:afterLines="50" w:line="240" w:lineRule="auto"/>
        <w:ind w:leftChars="0"/>
        <w:jc w:val="both"/>
        <w:textAlignment w:val="auto"/>
        <w:outlineLvl w:val="9"/>
        <w:rPr>
          <w:rFonts w:hint="default" w:cs="Times New Roman"/>
          <w:b/>
          <w:bCs/>
          <w:i w:val="0"/>
          <w:iCs w:val="0"/>
          <w:sz w:val="20"/>
          <w:szCs w:val="20"/>
          <w:highlight w:val="none"/>
          <w:lang w:val="en-US" w:eastAsia="zh-CN"/>
        </w:rPr>
      </w:pPr>
      <w:r>
        <w:rPr>
          <w:rFonts w:hint="eastAsia" w:cs="Times New Roman"/>
          <w:b w:val="0"/>
          <w:bCs w:val="0"/>
          <w:i w:val="0"/>
          <w:iCs w:val="0"/>
          <w:sz w:val="20"/>
          <w:szCs w:val="20"/>
          <w:highlight w:val="none"/>
          <w:lang w:val="en-US" w:eastAsia="zh-CN"/>
        </w:rPr>
        <w:t>Generally PC3 should be supported as in Table 2-7.</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Table </w:t>
      </w:r>
      <w:r>
        <w:rPr>
          <w:rFonts w:hint="eastAsia" w:ascii="Arial" w:hAnsi="Arial" w:eastAsia="宋体" w:cs="Times New Roman"/>
          <w:b/>
          <w:lang w:val="en-US" w:eastAsia="zh-CN" w:bidi="ar-SA"/>
        </w:rPr>
        <w:t xml:space="preserve">2-7 </w:t>
      </w:r>
      <w:r>
        <w:rPr>
          <w:rFonts w:ascii="Arial" w:hAnsi="Arial" w:eastAsia="Times New Roman" w:cs="Times New Roman"/>
          <w:b/>
          <w:lang w:val="en-GB" w:eastAsia="en-GB" w:bidi="ar-SA"/>
        </w:rPr>
        <w:t xml:space="preserve"> UE Power Class</w:t>
      </w:r>
    </w:p>
    <w:tbl>
      <w:tblPr>
        <w:tblStyle w:val="17"/>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NR</w:t>
            </w:r>
          </w:p>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band</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 (dB)</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 (dB)</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hint="default" w:ascii="Arial" w:hAnsi="Arial" w:eastAsia="宋体" w:cs="Times New Roman"/>
                <w:sz w:val="18"/>
                <w:highlight w:val="red"/>
                <w:lang w:val="en-US" w:eastAsia="zh-CN" w:bidi="ar-SA"/>
              </w:rPr>
            </w:pPr>
            <w:r>
              <w:rPr>
                <w:rFonts w:ascii="Arial" w:hAnsi="Arial" w:eastAsia="Times New Roman" w:cs="Times New Roman"/>
                <w:sz w:val="18"/>
                <w:highlight w:val="none"/>
                <w:lang w:val="en-GB" w:eastAsia="en-GB" w:bidi="ar-SA"/>
              </w:rPr>
              <w:t>n</w:t>
            </w:r>
            <w:r>
              <w:rPr>
                <w:rFonts w:hint="eastAsia" w:ascii="Arial" w:hAnsi="Arial" w:eastAsia="宋体" w:cs="Times New Roman"/>
                <w:sz w:val="18"/>
                <w:highlight w:val="none"/>
                <w:lang w:val="en-US" w:eastAsia="zh-CN" w:bidi="ar-SA"/>
              </w:rPr>
              <w:t>68</w:t>
            </w: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vAlign w:val="top"/>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ascii="Arial" w:hAnsi="Arial" w:eastAsia="宋体" w:cs="Times New Roman"/>
                <w:sz w:val="18"/>
                <w:szCs w:val="20"/>
                <w:highlight w:val="none"/>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ascii="Arial" w:hAnsi="Arial" w:eastAsia="宋体" w:cs="Times New Roman"/>
                <w:sz w:val="18"/>
                <w:szCs w:val="20"/>
                <w:highlight w:val="none"/>
                <w:lang w:val="en-GB" w:eastAsia="en-GB"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sz w:val="18"/>
                <w:highlight w:val="red"/>
                <w:lang w:val="en-GB" w:eastAsia="en-GB" w:bidi="ar-SA"/>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sz w:val="18"/>
                <w:highlight w:val="red"/>
                <w:lang w:val="en-GB" w:eastAsia="en-GB"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hint="default" w:ascii="Arial" w:hAnsi="Arial" w:eastAsia="宋体" w:cs="Times New Roman"/>
                <w:sz w:val="18"/>
                <w:highlight w:val="red"/>
                <w:lang w:val="en-US" w:eastAsia="zh-CN" w:bidi="ar-SA"/>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hint="default" w:ascii="Arial" w:hAnsi="Arial" w:eastAsia="宋体" w:cs="Times New Roman"/>
                <w:sz w:val="18"/>
                <w:highlight w:val="red"/>
                <w:lang w:val="en-US" w:eastAsia="zh-CN" w:bidi="ar-SA"/>
              </w:rPr>
            </w:pPr>
          </w:p>
        </w:tc>
        <w:tc>
          <w:tcPr>
            <w:tcW w:w="1026"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sz w:val="18"/>
                <w:highlight w:val="none"/>
                <w:lang w:val="en-GB" w:eastAsia="en-GB" w:bidi="ar-SA"/>
              </w:rPr>
            </w:pPr>
            <w:r>
              <w:rPr>
                <w:rFonts w:ascii="Arial" w:hAnsi="Arial" w:eastAsia="Times New Roman" w:cs="Times New Roman"/>
                <w:sz w:val="18"/>
                <w:highlight w:val="none"/>
                <w:lang w:val="en-GB" w:eastAsia="en-GB" w:bidi="ar-SA"/>
              </w:rPr>
              <w:t>±2</w:t>
            </w: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p>
    <w:p>
      <w:pPr>
        <w:keepNext w:val="0"/>
        <w:keepLines w:val="0"/>
        <w:pageBreakBefore w:val="0"/>
        <w:widowControl/>
        <w:numPr>
          <w:ilvl w:val="0"/>
          <w:numId w:val="7"/>
        </w:numPr>
        <w:kinsoku/>
        <w:wordWrap/>
        <w:overflowPunct/>
        <w:topLinePunct w:val="0"/>
        <w:autoSpaceDE/>
        <w:autoSpaceDN/>
        <w:bidi w:val="0"/>
        <w:adjustRightInd/>
        <w:snapToGrid w:val="0"/>
        <w:spacing w:after="157" w:afterLines="50" w:line="240" w:lineRule="auto"/>
        <w:ind w:left="0" w:leftChars="0" w:firstLine="0" w:firstLineChars="0"/>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REFSENS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The proposed REFSENS is listed in Table 2-8. </w:t>
      </w:r>
    </w:p>
    <w:p>
      <w:pPr>
        <w:keepNext/>
        <w:keepLines/>
        <w:overflowPunct w:val="0"/>
        <w:autoSpaceDE w:val="0"/>
        <w:autoSpaceDN w:val="0"/>
        <w:adjustRightInd w:val="0"/>
        <w:spacing w:before="60" w:after="180"/>
        <w:jc w:val="center"/>
        <w:textAlignment w:val="baseline"/>
        <w:rPr>
          <w:rFonts w:ascii="Arial" w:hAnsi="Arial" w:eastAsia="Times New Roman" w:cs="Times New Roman"/>
          <w:b/>
          <w:highlight w:val="none"/>
          <w:lang w:val="en-GB" w:eastAsia="en-GB" w:bidi="ar-SA"/>
        </w:rPr>
      </w:pPr>
      <w:r>
        <w:rPr>
          <w:rFonts w:hint="eastAsia" w:ascii="Arial" w:hAnsi="Arial" w:eastAsia="宋体" w:cs="Times New Roman"/>
          <w:b/>
          <w:highlight w:val="none"/>
          <w:lang w:val="en-US" w:eastAsia="zh-CN" w:bidi="ar-SA"/>
        </w:rPr>
        <w:t>T</w:t>
      </w:r>
      <w:r>
        <w:rPr>
          <w:rFonts w:ascii="Arial" w:hAnsi="Arial" w:eastAsia="Times New Roman" w:cs="Times New Roman"/>
          <w:b/>
          <w:highlight w:val="none"/>
          <w:lang w:val="en-GB" w:eastAsia="en-GB" w:bidi="ar-SA"/>
        </w:rPr>
        <w:t xml:space="preserve">able </w:t>
      </w:r>
      <w:r>
        <w:rPr>
          <w:rFonts w:hint="eastAsia" w:ascii="Arial" w:hAnsi="Arial" w:eastAsia="宋体" w:cs="Times New Roman"/>
          <w:b/>
          <w:highlight w:val="none"/>
          <w:lang w:val="en-US" w:eastAsia="zh-CN" w:bidi="ar-SA"/>
        </w:rPr>
        <w:t xml:space="preserve">2-8 </w:t>
      </w:r>
      <w:r>
        <w:rPr>
          <w:rFonts w:ascii="Arial" w:hAnsi="Arial" w:eastAsia="Times New Roman" w:cs="Times New Roman"/>
          <w:b/>
          <w:highlight w:val="none"/>
          <w:lang w:val="en-GB" w:eastAsia="en-GB" w:bidi="ar-SA"/>
        </w:rPr>
        <w:t xml:space="preserve"> Two antenna port reference sensitivity QPSK PREFSENS for FDD bands</w:t>
      </w:r>
    </w:p>
    <w:tbl>
      <w:tblPr>
        <w:tblStyle w:val="17"/>
        <w:tblW w:w="9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950" w:type="dxa"/>
            <w:gridSpan w:val="13"/>
            <w:tcBorders>
              <w:bottom w:val="single" w:color="auto" w:sz="4" w:space="0"/>
            </w:tcBorders>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Operating Band</w:t>
            </w:r>
          </w:p>
        </w:tc>
        <w:tc>
          <w:tcPr>
            <w:tcW w:w="629" w:type="dxa"/>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SCS kHz</w:t>
            </w:r>
          </w:p>
        </w:tc>
        <w:tc>
          <w:tcPr>
            <w:tcW w:w="741"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3</w:t>
            </w:r>
          </w:p>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MHz</w:t>
            </w:r>
            <w:r>
              <w:rPr>
                <w:rFonts w:ascii="Arial" w:hAnsi="Arial" w:eastAsia="PMingLiU" w:cs="Times New Roman"/>
                <w:b/>
                <w:sz w:val="18"/>
                <w:highlight w:val="none"/>
                <w:lang w:val="en-US" w:eastAsia="en-GB" w:bidi="ar-SA"/>
              </w:rPr>
              <w:br w:type="textWrapping"/>
            </w:r>
            <w:r>
              <w:rPr>
                <w:rFonts w:ascii="Arial" w:hAnsi="Arial" w:eastAsia="PMingLiU" w:cs="Times New Roman"/>
                <w:b/>
                <w:sz w:val="18"/>
                <w:highlight w:val="none"/>
                <w:lang w:val="en-US" w:eastAsia="en-GB" w:bidi="ar-SA"/>
              </w:rPr>
              <w:t>(dBm)</w:t>
            </w:r>
          </w:p>
        </w:tc>
        <w:tc>
          <w:tcPr>
            <w:tcW w:w="741"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5</w:t>
            </w:r>
          </w:p>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MHz</w:t>
            </w:r>
            <w:r>
              <w:rPr>
                <w:rFonts w:ascii="Arial" w:hAnsi="Arial" w:eastAsia="PMingLiU" w:cs="Times New Roman"/>
                <w:b/>
                <w:sz w:val="18"/>
                <w:highlight w:val="none"/>
                <w:lang w:val="en-US" w:eastAsia="en-GB" w:bidi="ar-SA"/>
              </w:rPr>
              <w:br w:type="textWrapping"/>
            </w:r>
            <w:r>
              <w:rPr>
                <w:rFonts w:ascii="Arial" w:hAnsi="Arial" w:eastAsia="PMingLiU" w:cs="Times New Roman"/>
                <w:b/>
                <w:sz w:val="18"/>
                <w:highlight w:val="none"/>
                <w:lang w:val="en-US" w:eastAsia="en-GB" w:bidi="ar-SA"/>
              </w:rPr>
              <w:t>(dBm)</w:t>
            </w:r>
          </w:p>
        </w:tc>
        <w:tc>
          <w:tcPr>
            <w:tcW w:w="74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10</w:t>
            </w:r>
          </w:p>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MHz</w:t>
            </w:r>
            <w:r>
              <w:rPr>
                <w:rFonts w:ascii="Arial" w:hAnsi="Arial" w:eastAsia="PMingLiU" w:cs="Times New Roman"/>
                <w:b/>
                <w:sz w:val="18"/>
                <w:highlight w:val="none"/>
                <w:lang w:val="en-US" w:eastAsia="en-GB" w:bidi="ar-SA"/>
              </w:rPr>
              <w:br w:type="textWrapping"/>
            </w:r>
            <w:r>
              <w:rPr>
                <w:rFonts w:ascii="Arial" w:hAnsi="Arial" w:eastAsia="PMingLiU" w:cs="Times New Roman"/>
                <w:b/>
                <w:sz w:val="18"/>
                <w:highlight w:val="none"/>
                <w:lang w:val="en-US" w:eastAsia="en-GB" w:bidi="ar-SA"/>
              </w:rPr>
              <w:t>(dBm)</w:t>
            </w:r>
          </w:p>
        </w:tc>
        <w:tc>
          <w:tcPr>
            <w:tcW w:w="741"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15</w:t>
            </w:r>
          </w:p>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MHz</w:t>
            </w:r>
            <w:r>
              <w:rPr>
                <w:rFonts w:ascii="Arial" w:hAnsi="Arial" w:eastAsia="PMingLiU" w:cs="Times New Roman"/>
                <w:b/>
                <w:sz w:val="18"/>
                <w:highlight w:val="none"/>
                <w:lang w:val="en-US" w:eastAsia="en-GB" w:bidi="ar-SA"/>
              </w:rPr>
              <w:br w:type="textWrapping"/>
            </w:r>
            <w:r>
              <w:rPr>
                <w:rFonts w:ascii="Arial" w:hAnsi="Arial" w:eastAsia="PMingLiU" w:cs="Times New Roman"/>
                <w:b/>
                <w:sz w:val="18"/>
                <w:highlight w:val="none"/>
                <w:lang w:val="en-US" w:eastAsia="en-GB" w:bidi="ar-SA"/>
              </w:rPr>
              <w:t>(dBm)</w:t>
            </w:r>
          </w:p>
        </w:tc>
        <w:tc>
          <w:tcPr>
            <w:tcW w:w="741"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20</w:t>
            </w:r>
          </w:p>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MHz</w:t>
            </w:r>
            <w:r>
              <w:rPr>
                <w:rFonts w:ascii="Arial" w:hAnsi="Arial" w:eastAsia="PMingLiU" w:cs="Times New Roman"/>
                <w:b/>
                <w:sz w:val="18"/>
                <w:highlight w:val="none"/>
                <w:lang w:val="en-US" w:eastAsia="en-GB" w:bidi="ar-SA"/>
              </w:rPr>
              <w:br w:type="textWrapping"/>
            </w:r>
            <w:r>
              <w:rPr>
                <w:rFonts w:ascii="Arial" w:hAnsi="Arial" w:eastAsia="PMingLiU" w:cs="Times New Roman"/>
                <w:b/>
                <w:sz w:val="18"/>
                <w:highlight w:val="none"/>
                <w:lang w:val="en-US" w:eastAsia="en-GB" w:bidi="ar-SA"/>
              </w:rPr>
              <w:t>(dBm)</w:t>
            </w:r>
          </w:p>
        </w:tc>
        <w:tc>
          <w:tcPr>
            <w:tcW w:w="74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25</w:t>
            </w:r>
          </w:p>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MHz</w:t>
            </w:r>
            <w:r>
              <w:rPr>
                <w:rFonts w:ascii="Arial" w:hAnsi="Arial" w:eastAsia="PMingLiU" w:cs="Times New Roman"/>
                <w:b/>
                <w:sz w:val="18"/>
                <w:highlight w:val="none"/>
                <w:lang w:val="en-US" w:eastAsia="en-GB" w:bidi="ar-SA"/>
              </w:rPr>
              <w:br w:type="textWrapping"/>
            </w:r>
            <w:r>
              <w:rPr>
                <w:rFonts w:ascii="Arial" w:hAnsi="Arial" w:eastAsia="PMingLiU" w:cs="Times New Roman"/>
                <w:b/>
                <w:sz w:val="18"/>
                <w:highlight w:val="none"/>
                <w:lang w:val="en-US" w:eastAsia="en-GB" w:bidi="ar-SA"/>
              </w:rPr>
              <w:t>(dBm)</w:t>
            </w:r>
          </w:p>
        </w:tc>
        <w:tc>
          <w:tcPr>
            <w:tcW w:w="741" w:type="dxa"/>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30 MHz (dBm)</w:t>
            </w:r>
          </w:p>
        </w:tc>
        <w:tc>
          <w:tcPr>
            <w:tcW w:w="741" w:type="dxa"/>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35 MHz (dBm)</w:t>
            </w:r>
          </w:p>
        </w:tc>
        <w:tc>
          <w:tcPr>
            <w:tcW w:w="74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40</w:t>
            </w:r>
          </w:p>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MHz</w:t>
            </w:r>
            <w:r>
              <w:rPr>
                <w:rFonts w:ascii="Arial" w:hAnsi="Arial" w:eastAsia="PMingLiU" w:cs="Times New Roman"/>
                <w:b/>
                <w:sz w:val="18"/>
                <w:highlight w:val="none"/>
                <w:lang w:val="en-US" w:eastAsia="en-GB" w:bidi="ar-SA"/>
              </w:rPr>
              <w:br w:type="textWrapping"/>
            </w:r>
            <w:r>
              <w:rPr>
                <w:rFonts w:ascii="Arial" w:hAnsi="Arial" w:eastAsia="PMingLiU" w:cs="Times New Roman"/>
                <w:b/>
                <w:sz w:val="18"/>
                <w:highlight w:val="none"/>
                <w:lang w:val="en-US" w:eastAsia="en-GB" w:bidi="ar-SA"/>
              </w:rPr>
              <w:t>(dBm)</w:t>
            </w:r>
          </w:p>
        </w:tc>
        <w:tc>
          <w:tcPr>
            <w:tcW w:w="741" w:type="dxa"/>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45 MHz (dBm)</w:t>
            </w:r>
          </w:p>
        </w:tc>
        <w:tc>
          <w:tcPr>
            <w:tcW w:w="814" w:type="dxa"/>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50</w:t>
            </w:r>
          </w:p>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b/>
                <w:sz w:val="18"/>
                <w:highlight w:val="none"/>
                <w:lang w:val="en-US" w:eastAsia="en-GB" w:bidi="ar-SA"/>
              </w:rPr>
            </w:pPr>
            <w:r>
              <w:rPr>
                <w:rFonts w:ascii="Arial" w:hAnsi="Arial" w:eastAsia="PMingLiU" w:cs="Times New Roman"/>
                <w:b/>
                <w:sz w:val="18"/>
                <w:highlight w:val="none"/>
                <w:lang w:val="en-US" w:eastAsia="en-GB" w:bidi="ar-SA"/>
              </w:rPr>
              <w:t>MHz</w:t>
            </w:r>
            <w:r>
              <w:rPr>
                <w:rFonts w:ascii="Arial" w:hAnsi="Arial" w:eastAsia="PMingLiU" w:cs="Times New Roman"/>
                <w:b/>
                <w:sz w:val="18"/>
                <w:highlight w:val="none"/>
                <w:lang w:val="en-US" w:eastAsia="en-GB" w:bidi="ar-SA"/>
              </w:rPr>
              <w:br w:type="textWrapping"/>
            </w:r>
            <w:r>
              <w:rPr>
                <w:rFonts w:ascii="Arial" w:hAnsi="Arial" w:eastAsia="PMingLiU" w:cs="Times New Roman"/>
                <w:b/>
                <w:sz w:val="18"/>
                <w:highlight w:val="none"/>
                <w:lang w:val="en-US" w:eastAsia="en-GB" w:bidi="ar-SA"/>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Arial" w:hAnsi="Arial" w:eastAsia="宋体" w:cs="Times New Roman"/>
                <w:sz w:val="18"/>
                <w:highlight w:val="none"/>
                <w:lang w:val="en-US" w:eastAsia="zh-CN" w:bidi="ar-SA"/>
              </w:rPr>
            </w:pPr>
            <w:r>
              <w:rPr>
                <w:rFonts w:ascii="Arial" w:hAnsi="Arial" w:eastAsia="PMingLiU" w:cs="Times New Roman"/>
                <w:sz w:val="18"/>
                <w:highlight w:val="none"/>
                <w:lang w:val="en-US" w:eastAsia="en-GB" w:bidi="ar-SA"/>
              </w:rPr>
              <w:t>n</w:t>
            </w:r>
            <w:r>
              <w:rPr>
                <w:rFonts w:hint="eastAsia" w:ascii="Arial" w:hAnsi="Arial" w:eastAsia="宋体" w:cs="Times New Roman"/>
                <w:sz w:val="18"/>
                <w:highlight w:val="none"/>
                <w:lang w:val="en-US" w:eastAsia="zh-CN" w:bidi="ar-SA"/>
              </w:rPr>
              <w:t>68</w:t>
            </w:r>
          </w:p>
        </w:tc>
        <w:tc>
          <w:tcPr>
            <w:tcW w:w="629"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highlight w:val="none"/>
                <w:lang w:val="en-US" w:eastAsia="en-GB" w:bidi="ar-SA"/>
              </w:rPr>
            </w:pPr>
            <w:r>
              <w:rPr>
                <w:rFonts w:ascii="Arial" w:hAnsi="Arial" w:eastAsia="PMingLiU" w:cs="Times New Roman"/>
                <w:sz w:val="18"/>
                <w:highlight w:val="none"/>
                <w:lang w:val="en-US" w:eastAsia="en-GB" w:bidi="ar-SA"/>
              </w:rPr>
              <w:t>15</w:t>
            </w:r>
          </w:p>
        </w:tc>
        <w:tc>
          <w:tcPr>
            <w:tcW w:w="741"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Arial" w:hAnsi="Arial" w:eastAsia="宋体" w:cs="Arial"/>
                <w:sz w:val="18"/>
                <w:szCs w:val="18"/>
                <w:highlight w:val="none"/>
                <w:lang w:val="en-US" w:eastAsia="zh-CN" w:bidi="ar-SA"/>
              </w:rPr>
            </w:pPr>
          </w:p>
        </w:tc>
        <w:tc>
          <w:tcPr>
            <w:tcW w:w="741" w:type="dxa"/>
            <w:shd w:val="clear" w:color="auto" w:fill="auto"/>
            <w:vAlign w:val="top"/>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Arial" w:hAnsi="Arial" w:eastAsia="宋体" w:cs="Times New Roman"/>
                <w:sz w:val="18"/>
                <w:highlight w:val="none"/>
                <w:lang w:val="en-US" w:eastAsia="zh-CN" w:bidi="ar-SA"/>
              </w:rPr>
            </w:pPr>
            <w:r>
              <w:rPr>
                <w:rFonts w:hint="eastAsia" w:ascii="Arial" w:hAnsi="Arial" w:eastAsia="宋体" w:cs="Arial"/>
                <w:sz w:val="18"/>
                <w:szCs w:val="18"/>
                <w:highlight w:val="none"/>
                <w:lang w:val="en-US" w:eastAsia="zh-CN" w:bidi="ar-SA"/>
              </w:rPr>
              <w:t>-98.5</w:t>
            </w:r>
          </w:p>
        </w:tc>
        <w:tc>
          <w:tcPr>
            <w:tcW w:w="740" w:type="dxa"/>
            <w:shd w:val="clear" w:color="auto" w:fill="auto"/>
            <w:vAlign w:val="top"/>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Arial" w:hAnsi="Arial" w:eastAsia="宋体" w:cs="Times New Roman"/>
                <w:sz w:val="18"/>
                <w:highlight w:val="none"/>
                <w:lang w:val="en-US" w:eastAsia="zh-CN" w:bidi="ar-SA"/>
              </w:rPr>
            </w:pPr>
            <w:r>
              <w:rPr>
                <w:rFonts w:hint="eastAsia" w:ascii="Arial" w:hAnsi="Arial" w:eastAsia="宋体" w:cs="Arial"/>
                <w:sz w:val="18"/>
                <w:szCs w:val="18"/>
                <w:highlight w:val="none"/>
                <w:lang w:val="en-US" w:eastAsia="zh-CN" w:bidi="ar-SA"/>
              </w:rPr>
              <w:t>-95.3</w:t>
            </w:r>
          </w:p>
        </w:tc>
        <w:tc>
          <w:tcPr>
            <w:tcW w:w="741" w:type="dxa"/>
            <w:shd w:val="clear" w:color="auto" w:fill="auto"/>
            <w:vAlign w:val="top"/>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Arial" w:hAnsi="Arial" w:eastAsia="宋体" w:cs="Times New Roman"/>
                <w:sz w:val="18"/>
                <w:highlight w:val="none"/>
                <w:lang w:val="en-US" w:eastAsia="zh-CN" w:bidi="ar-SA"/>
              </w:rPr>
            </w:pPr>
            <w:r>
              <w:rPr>
                <w:rFonts w:hint="eastAsia" w:ascii="Arial" w:hAnsi="Arial" w:eastAsia="宋体" w:cs="Arial"/>
                <w:sz w:val="18"/>
                <w:szCs w:val="18"/>
                <w:highlight w:val="none"/>
                <w:lang w:val="en-US" w:eastAsia="zh-CN" w:bidi="ar-SA"/>
              </w:rPr>
              <w:t>-93.5</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highlight w:val="none"/>
                <w:lang w:val="en-US" w:eastAsia="en-GB" w:bidi="ar-SA"/>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highlight w:val="none"/>
                <w:lang w:val="en-US" w:eastAsia="en-GB" w:bidi="ar-SA"/>
              </w:rPr>
            </w:pPr>
          </w:p>
        </w:tc>
        <w:tc>
          <w:tcPr>
            <w:tcW w:w="741"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highlight w:val="none"/>
                <w:lang w:val="en-US" w:eastAsia="en-GB" w:bidi="ar-SA"/>
              </w:rPr>
            </w:pPr>
          </w:p>
        </w:tc>
        <w:tc>
          <w:tcPr>
            <w:tcW w:w="741"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highlight w:val="none"/>
                <w:lang w:val="en-US" w:eastAsia="en-GB" w:bidi="ar-SA"/>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highlight w:val="none"/>
                <w:lang w:val="en-US" w:eastAsia="en-GB" w:bidi="ar-SA"/>
              </w:rPr>
            </w:pPr>
          </w:p>
        </w:tc>
        <w:tc>
          <w:tcPr>
            <w:tcW w:w="741"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highlight w:val="none"/>
                <w:lang w:val="en-US" w:eastAsia="en-GB" w:bidi="ar-SA"/>
              </w:rPr>
            </w:pPr>
          </w:p>
        </w:tc>
        <w:tc>
          <w:tcPr>
            <w:tcW w:w="814"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highlight w:val="none"/>
                <w:lang w:val="en-US"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shd w:val="clear" w:color="auto" w:fill="auto"/>
            <w:vAlign w:val="center"/>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highlight w:val="none"/>
                <w:lang w:val="en-US" w:eastAsia="en-GB" w:bidi="ar-SA"/>
              </w:rPr>
            </w:pPr>
          </w:p>
        </w:tc>
        <w:tc>
          <w:tcPr>
            <w:tcW w:w="629"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Arial" w:hAnsi="Arial" w:eastAsia="宋体" w:cs="Times New Roman"/>
                <w:sz w:val="18"/>
                <w:highlight w:val="none"/>
                <w:lang w:val="en-US" w:eastAsia="zh-CN" w:bidi="ar-SA"/>
              </w:rPr>
            </w:pPr>
            <w:r>
              <w:rPr>
                <w:rFonts w:hint="eastAsia" w:ascii="Arial" w:hAnsi="Arial" w:eastAsia="宋体" w:cs="Times New Roman"/>
                <w:sz w:val="18"/>
                <w:highlight w:val="none"/>
                <w:lang w:val="en-US" w:eastAsia="zh-CN" w:bidi="ar-SA"/>
              </w:rPr>
              <w:t>30</w:t>
            </w:r>
          </w:p>
        </w:tc>
        <w:tc>
          <w:tcPr>
            <w:tcW w:w="741"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Arial" w:hAnsi="Arial" w:eastAsia="宋体" w:cs="Arial"/>
                <w:sz w:val="18"/>
                <w:szCs w:val="18"/>
                <w:highlight w:val="none"/>
                <w:lang w:val="en-US" w:eastAsia="zh-CN" w:bidi="ar-SA"/>
              </w:rPr>
            </w:pPr>
          </w:p>
        </w:tc>
        <w:tc>
          <w:tcPr>
            <w:tcW w:w="741" w:type="dxa"/>
            <w:shd w:val="clear" w:color="auto" w:fill="auto"/>
            <w:vAlign w:val="top"/>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eastAsia" w:ascii="Arial" w:hAnsi="Arial" w:eastAsia="宋体" w:cs="Times New Roman"/>
                <w:sz w:val="18"/>
                <w:highlight w:val="none"/>
                <w:lang w:val="en-US" w:eastAsia="zh-CN" w:bidi="ar-SA"/>
              </w:rPr>
            </w:pPr>
          </w:p>
        </w:tc>
        <w:tc>
          <w:tcPr>
            <w:tcW w:w="740" w:type="dxa"/>
            <w:shd w:val="clear" w:color="auto" w:fill="auto"/>
            <w:vAlign w:val="top"/>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Arial" w:hAnsi="Arial" w:eastAsia="宋体" w:cs="Times New Roman"/>
                <w:sz w:val="18"/>
                <w:highlight w:val="none"/>
                <w:lang w:val="en-US" w:eastAsia="zh-CN" w:bidi="ar-SA"/>
              </w:rPr>
            </w:pPr>
            <w:r>
              <w:rPr>
                <w:rFonts w:hint="eastAsia" w:ascii="Arial" w:hAnsi="Arial" w:eastAsia="宋体" w:cs="Arial"/>
                <w:sz w:val="18"/>
                <w:szCs w:val="18"/>
                <w:highlight w:val="none"/>
                <w:lang w:val="en-US" w:eastAsia="zh-CN" w:bidi="ar-SA"/>
              </w:rPr>
              <w:t>-95.6</w:t>
            </w:r>
          </w:p>
        </w:tc>
        <w:tc>
          <w:tcPr>
            <w:tcW w:w="741" w:type="dxa"/>
            <w:shd w:val="clear" w:color="auto" w:fill="auto"/>
            <w:vAlign w:val="top"/>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hint="default" w:ascii="Arial" w:hAnsi="Arial" w:eastAsia="宋体" w:cs="Times New Roman"/>
                <w:sz w:val="18"/>
                <w:highlight w:val="none"/>
                <w:lang w:val="en-US" w:eastAsia="zh-CN" w:bidi="ar-SA"/>
              </w:rPr>
            </w:pPr>
            <w:r>
              <w:rPr>
                <w:rFonts w:hint="eastAsia" w:ascii="Arial" w:hAnsi="Arial" w:eastAsia="宋体" w:cs="Arial"/>
                <w:sz w:val="18"/>
                <w:szCs w:val="18"/>
                <w:highlight w:val="none"/>
                <w:lang w:val="en-US" w:eastAsia="zh-CN" w:bidi="ar-SA"/>
              </w:rPr>
              <w:t>-93.6</w:t>
            </w:r>
          </w:p>
        </w:tc>
        <w:tc>
          <w:tcPr>
            <w:tcW w:w="741" w:type="dxa"/>
            <w:shd w:val="clear" w:color="auto" w:fill="auto"/>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highlight w:val="none"/>
                <w:lang w:val="en-US" w:eastAsia="en-GB" w:bidi="ar-SA"/>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highlight w:val="none"/>
                <w:lang w:val="en-US" w:eastAsia="en-GB" w:bidi="ar-SA"/>
              </w:rPr>
            </w:pPr>
          </w:p>
        </w:tc>
        <w:tc>
          <w:tcPr>
            <w:tcW w:w="741"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highlight w:val="none"/>
                <w:lang w:val="en-US" w:eastAsia="en-GB" w:bidi="ar-SA"/>
              </w:rPr>
            </w:pPr>
          </w:p>
        </w:tc>
        <w:tc>
          <w:tcPr>
            <w:tcW w:w="741"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highlight w:val="none"/>
                <w:lang w:val="en-US" w:eastAsia="en-GB" w:bidi="ar-SA"/>
              </w:rPr>
            </w:pPr>
          </w:p>
        </w:tc>
        <w:tc>
          <w:tcPr>
            <w:tcW w:w="740" w:type="dxa"/>
            <w:shd w:val="clear" w:color="auto" w:fill="auto"/>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highlight w:val="none"/>
                <w:lang w:val="en-US" w:eastAsia="en-GB" w:bidi="ar-SA"/>
              </w:rPr>
            </w:pPr>
          </w:p>
        </w:tc>
        <w:tc>
          <w:tcPr>
            <w:tcW w:w="741"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highlight w:val="none"/>
                <w:lang w:val="en-US" w:eastAsia="en-GB" w:bidi="ar-SA"/>
              </w:rPr>
            </w:pPr>
          </w:p>
        </w:tc>
        <w:tc>
          <w:tcPr>
            <w:tcW w:w="814"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PMingLiU" w:cs="Times New Roman"/>
                <w:sz w:val="18"/>
                <w:highlight w:val="none"/>
                <w:lang w:val="en-US" w:eastAsia="en-GB" w:bidi="ar-SA"/>
              </w:rPr>
            </w:pP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2: Approve Table 2-7 and Table 2-8 on RF requirements for new Rel-19 specification.</w:t>
      </w:r>
    </w:p>
    <w:p>
      <w:pPr>
        <w:keepNext w:val="0"/>
        <w:keepLines w:val="0"/>
        <w:pageBreakBefore w:val="0"/>
        <w:widowControl/>
        <w:numPr>
          <w:ilvl w:val="0"/>
          <w:numId w:val="7"/>
        </w:numPr>
        <w:kinsoku/>
        <w:wordWrap/>
        <w:overflowPunct/>
        <w:topLinePunct w:val="0"/>
        <w:autoSpaceDE/>
        <w:autoSpaceDN/>
        <w:bidi w:val="0"/>
        <w:adjustRightInd/>
        <w:snapToGrid w:val="0"/>
        <w:spacing w:after="157" w:afterLines="50" w:line="240" w:lineRule="auto"/>
        <w:ind w:left="0" w:leftChars="0" w:firstLine="0" w:firstLineChars="0"/>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Blocking characteristics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eastAsia="宋体"/>
          <w:lang w:val="en-US" w:eastAsia="zh-CN"/>
        </w:rPr>
      </w:pPr>
      <w:r>
        <w:rPr>
          <w:rFonts w:hint="eastAsia" w:cs="Times New Roman"/>
          <w:b w:val="0"/>
          <w:bCs w:val="0"/>
          <w:i w:val="0"/>
          <w:iCs w:val="0"/>
          <w:sz w:val="20"/>
          <w:szCs w:val="20"/>
          <w:highlight w:val="none"/>
          <w:lang w:val="en-US" w:eastAsia="zh-CN"/>
        </w:rPr>
        <w:t xml:space="preserve">For IBB and OBB which are band specific, we need to add n68 into </w:t>
      </w:r>
      <w:r>
        <w:t>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r>
        <w:rPr>
          <w:rFonts w:hint="eastAsia" w:eastAsia="宋体"/>
          <w:lang w:val="en-US" w:eastAsia="zh-CN"/>
        </w:rPr>
        <w:t xml:space="preserve"> tables. For NBB which is also band specific, we need to add n68 into the NBB table.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3: Add n68 into </w:t>
      </w:r>
      <w:r>
        <w:rPr>
          <w:b/>
          <w:bCs/>
        </w:rPr>
        <w:t>F</w:t>
      </w:r>
      <w:r>
        <w:rPr>
          <w:b/>
          <w:bCs/>
          <w:vertAlign w:val="subscript"/>
        </w:rPr>
        <w:t xml:space="preserve">DL_high </w:t>
      </w:r>
      <w:r>
        <w:rPr>
          <w:rFonts w:cs="Arial"/>
          <w:b/>
          <w:bCs/>
        </w:rPr>
        <w:t>&lt;</w:t>
      </w:r>
      <w:r>
        <w:rPr>
          <w:b/>
          <w:bCs/>
        </w:rPr>
        <w:t xml:space="preserve"> 2700 MHz and F</w:t>
      </w:r>
      <w:r>
        <w:rPr>
          <w:b/>
          <w:bCs/>
          <w:vertAlign w:val="subscript"/>
        </w:rPr>
        <w:t xml:space="preserve">UL_high </w:t>
      </w:r>
      <w:r>
        <w:rPr>
          <w:rFonts w:cs="Arial"/>
          <w:b/>
          <w:bCs/>
        </w:rPr>
        <w:t>&lt;</w:t>
      </w:r>
      <w:r>
        <w:rPr>
          <w:b/>
          <w:bCs/>
        </w:rPr>
        <w:t xml:space="preserve"> 2700 MHz</w:t>
      </w:r>
      <w:r>
        <w:rPr>
          <w:rFonts w:hint="eastAsia" w:eastAsia="宋体"/>
          <w:b/>
          <w:bCs/>
          <w:lang w:val="en-US" w:eastAsia="zh-CN"/>
        </w:rPr>
        <w:t xml:space="preserve"> tables</w:t>
      </w:r>
      <w:r>
        <w:rPr>
          <w:rFonts w:hint="eastAsia" w:cs="Times New Roman"/>
          <w:b/>
          <w:bCs/>
          <w:i w:val="0"/>
          <w:iCs w:val="0"/>
          <w:sz w:val="20"/>
          <w:szCs w:val="20"/>
          <w:highlight w:val="none"/>
          <w:lang w:val="en-US" w:eastAsia="zh-CN"/>
        </w:rPr>
        <w:t xml:space="preserve"> for IBB and OBB, and add n68 into NBB table for new Rel-19 specification.</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val="en-US" w:eastAsia="zh-CN"/>
        </w:rPr>
      </w:pPr>
      <w:r>
        <w:rPr>
          <w:rFonts w:eastAsia="宋体"/>
          <w:lang w:val="en-US" w:eastAsia="zh-CN"/>
        </w:rPr>
        <w:t>Conclusion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1: Approve Table 2-1 to Table 2-6 on system parameters for new Rel-19 specification.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Proposal 2: Approve Table 2-7 and Table 2-8 on RF requirements for new Rel-19 specification.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3: Add n68 into </w:t>
      </w:r>
      <w:r>
        <w:rPr>
          <w:b/>
          <w:bCs/>
        </w:rPr>
        <w:t>F</w:t>
      </w:r>
      <w:r>
        <w:rPr>
          <w:b/>
          <w:bCs/>
          <w:vertAlign w:val="subscript"/>
        </w:rPr>
        <w:t xml:space="preserve">DL_high </w:t>
      </w:r>
      <w:r>
        <w:rPr>
          <w:rFonts w:cs="Arial"/>
          <w:b/>
          <w:bCs/>
        </w:rPr>
        <w:t>&lt;</w:t>
      </w:r>
      <w:r>
        <w:rPr>
          <w:b/>
          <w:bCs/>
        </w:rPr>
        <w:t xml:space="preserve"> 2700 MHz and F</w:t>
      </w:r>
      <w:r>
        <w:rPr>
          <w:b/>
          <w:bCs/>
          <w:vertAlign w:val="subscript"/>
        </w:rPr>
        <w:t xml:space="preserve">UL_high </w:t>
      </w:r>
      <w:r>
        <w:rPr>
          <w:rFonts w:cs="Arial"/>
          <w:b/>
          <w:bCs/>
        </w:rPr>
        <w:t>&lt;</w:t>
      </w:r>
      <w:r>
        <w:rPr>
          <w:b/>
          <w:bCs/>
        </w:rPr>
        <w:t xml:space="preserve"> 2700 MHz</w:t>
      </w:r>
      <w:r>
        <w:rPr>
          <w:rFonts w:hint="eastAsia" w:eastAsia="宋体"/>
          <w:b/>
          <w:bCs/>
          <w:lang w:val="en-US" w:eastAsia="zh-CN"/>
        </w:rPr>
        <w:t xml:space="preserve"> tables</w:t>
      </w:r>
      <w:r>
        <w:rPr>
          <w:rFonts w:hint="eastAsia" w:cs="Times New Roman"/>
          <w:b/>
          <w:bCs/>
          <w:i w:val="0"/>
          <w:iCs w:val="0"/>
          <w:sz w:val="20"/>
          <w:szCs w:val="20"/>
          <w:highlight w:val="none"/>
          <w:lang w:val="en-US" w:eastAsia="zh-CN"/>
        </w:rPr>
        <w:t xml:space="preserve"> for IBB and OBB, and add n68 into NBB table for new Rel-19 specification.</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ind w:left="425" w:hanging="425"/>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8"/>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RP-241664 New WID on introduction of NR band n68.</w:t>
      </w:r>
    </w:p>
    <w:p>
      <w:pPr>
        <w:pStyle w:val="9"/>
        <w:keepNext w:val="0"/>
        <w:keepLines w:val="0"/>
        <w:pageBreakBefore w:val="0"/>
        <w:widowControl/>
        <w:numPr>
          <w:ilvl w:val="0"/>
          <w:numId w:val="0"/>
        </w:numPr>
        <w:kinsoku/>
        <w:wordWrap/>
        <w:overflowPunct/>
        <w:topLinePunct w:val="0"/>
        <w:autoSpaceDE/>
        <w:autoSpaceDN/>
        <w:bidi w:val="0"/>
        <w:adjustRightInd/>
        <w:snapToGrid w:val="0"/>
        <w:spacing w:before="0" w:after="157" w:afterLines="50" w:line="240" w:lineRule="auto"/>
        <w:ind w:leftChars="0"/>
        <w:textAlignment w:val="auto"/>
        <w:rPr>
          <w:rFonts w:hint="eastAsia"/>
          <w:sz w:val="20"/>
          <w:szCs w:val="20"/>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C158C3"/>
    <w:multiLevelType w:val="multilevel"/>
    <w:tmpl w:val="09C158C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09EC4FAF"/>
    <w:multiLevelType w:val="singleLevel"/>
    <w:tmpl w:val="09EC4FAF"/>
    <w:lvl w:ilvl="0" w:tentative="0">
      <w:start w:val="1"/>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9E72DB9"/>
    <w:multiLevelType w:val="multilevel"/>
    <w:tmpl w:val="29E72DB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A61DBB0"/>
    <w:multiLevelType w:val="singleLevel"/>
    <w:tmpl w:val="5A61DBB0"/>
    <w:lvl w:ilvl="0" w:tentative="0">
      <w:start w:val="1"/>
      <w:numFmt w:val="decimal"/>
      <w:suff w:val="space"/>
      <w:lvlText w:val="[%1]"/>
      <w:lvlJc w:val="left"/>
      <w:rPr>
        <w:rFonts w:hint="default"/>
        <w:b w:val="0"/>
        <w:bCs w:val="0"/>
      </w:rPr>
    </w:lvl>
  </w:abstractNum>
  <w:abstractNum w:abstractNumId="6">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6F591BF9"/>
    <w:multiLevelType w:val="singleLevel"/>
    <w:tmpl w:val="6F591BF9"/>
    <w:lvl w:ilvl="0" w:tentative="0">
      <w:start w:val="1"/>
      <w:numFmt w:val="decimal"/>
      <w:suff w:val="space"/>
      <w:lvlText w:val="%1."/>
      <w:lvlJc w:val="left"/>
    </w:lvl>
  </w:abstractNum>
  <w:num w:numId="1">
    <w:abstractNumId w:val="6"/>
  </w:num>
  <w:num w:numId="2">
    <w:abstractNumId w:val="4"/>
  </w:num>
  <w:num w:numId="3">
    <w:abstractNumId w:val="2"/>
  </w:num>
  <w:num w:numId="4">
    <w:abstractNumId w:val="3"/>
  </w:num>
  <w:num w:numId="5">
    <w:abstractNumId w:val="0"/>
  </w:num>
  <w:num w:numId="6">
    <w:abstractNumId w:val="1"/>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6BB1"/>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164BFB"/>
    <w:rsid w:val="011B5754"/>
    <w:rsid w:val="0133695E"/>
    <w:rsid w:val="0153531E"/>
    <w:rsid w:val="01596446"/>
    <w:rsid w:val="01624027"/>
    <w:rsid w:val="01633D2A"/>
    <w:rsid w:val="0165337E"/>
    <w:rsid w:val="0167462C"/>
    <w:rsid w:val="01795E27"/>
    <w:rsid w:val="0180738E"/>
    <w:rsid w:val="018833AD"/>
    <w:rsid w:val="018A2647"/>
    <w:rsid w:val="018B3BAA"/>
    <w:rsid w:val="01945324"/>
    <w:rsid w:val="01957959"/>
    <w:rsid w:val="01BA0053"/>
    <w:rsid w:val="01CA556D"/>
    <w:rsid w:val="01DB7918"/>
    <w:rsid w:val="01DC1C82"/>
    <w:rsid w:val="01DC200E"/>
    <w:rsid w:val="01EF7CEA"/>
    <w:rsid w:val="01F86CD9"/>
    <w:rsid w:val="02065A2E"/>
    <w:rsid w:val="020928F5"/>
    <w:rsid w:val="0217354E"/>
    <w:rsid w:val="021A2217"/>
    <w:rsid w:val="021A5187"/>
    <w:rsid w:val="02281CFD"/>
    <w:rsid w:val="0228598B"/>
    <w:rsid w:val="02343561"/>
    <w:rsid w:val="025B0AD8"/>
    <w:rsid w:val="02626E3D"/>
    <w:rsid w:val="02720145"/>
    <w:rsid w:val="02721826"/>
    <w:rsid w:val="02740574"/>
    <w:rsid w:val="02770E1A"/>
    <w:rsid w:val="028153EF"/>
    <w:rsid w:val="028C48C4"/>
    <w:rsid w:val="0298367A"/>
    <w:rsid w:val="02C409AE"/>
    <w:rsid w:val="02CA1321"/>
    <w:rsid w:val="02D254EC"/>
    <w:rsid w:val="02D55E01"/>
    <w:rsid w:val="02DE07AA"/>
    <w:rsid w:val="02E43D5D"/>
    <w:rsid w:val="02E569D9"/>
    <w:rsid w:val="02F46664"/>
    <w:rsid w:val="02F72239"/>
    <w:rsid w:val="02F759DA"/>
    <w:rsid w:val="02FE0556"/>
    <w:rsid w:val="02FE5F82"/>
    <w:rsid w:val="030F2294"/>
    <w:rsid w:val="03256F39"/>
    <w:rsid w:val="032D5AEE"/>
    <w:rsid w:val="03311F41"/>
    <w:rsid w:val="03334B44"/>
    <w:rsid w:val="033F2E50"/>
    <w:rsid w:val="035C5E5E"/>
    <w:rsid w:val="036F028C"/>
    <w:rsid w:val="0383140E"/>
    <w:rsid w:val="03A05508"/>
    <w:rsid w:val="03AB67DC"/>
    <w:rsid w:val="03AD2FC5"/>
    <w:rsid w:val="03B82CC7"/>
    <w:rsid w:val="03C77456"/>
    <w:rsid w:val="03CB41C8"/>
    <w:rsid w:val="04040477"/>
    <w:rsid w:val="04156C27"/>
    <w:rsid w:val="042B1DF5"/>
    <w:rsid w:val="043D2559"/>
    <w:rsid w:val="045D198A"/>
    <w:rsid w:val="046555A2"/>
    <w:rsid w:val="046824A8"/>
    <w:rsid w:val="04762AE0"/>
    <w:rsid w:val="0478015E"/>
    <w:rsid w:val="04B43FA7"/>
    <w:rsid w:val="04BF26EE"/>
    <w:rsid w:val="04D16755"/>
    <w:rsid w:val="04D20004"/>
    <w:rsid w:val="04E54CF2"/>
    <w:rsid w:val="04EB6A3A"/>
    <w:rsid w:val="04F46C46"/>
    <w:rsid w:val="04FC2C75"/>
    <w:rsid w:val="050F2775"/>
    <w:rsid w:val="05143195"/>
    <w:rsid w:val="0526729B"/>
    <w:rsid w:val="05402104"/>
    <w:rsid w:val="054248F2"/>
    <w:rsid w:val="05492E9A"/>
    <w:rsid w:val="05510DD1"/>
    <w:rsid w:val="05533CBE"/>
    <w:rsid w:val="05685D6B"/>
    <w:rsid w:val="056A64DA"/>
    <w:rsid w:val="05785C74"/>
    <w:rsid w:val="05847419"/>
    <w:rsid w:val="058704DA"/>
    <w:rsid w:val="059160D0"/>
    <w:rsid w:val="0599193D"/>
    <w:rsid w:val="05AE018C"/>
    <w:rsid w:val="05B32ECD"/>
    <w:rsid w:val="05FE477C"/>
    <w:rsid w:val="05FF0D9C"/>
    <w:rsid w:val="0624257A"/>
    <w:rsid w:val="062937AB"/>
    <w:rsid w:val="062941CA"/>
    <w:rsid w:val="062A620F"/>
    <w:rsid w:val="063661E5"/>
    <w:rsid w:val="06410604"/>
    <w:rsid w:val="064B00B0"/>
    <w:rsid w:val="065C3A1D"/>
    <w:rsid w:val="06654A0B"/>
    <w:rsid w:val="06686223"/>
    <w:rsid w:val="06823D8F"/>
    <w:rsid w:val="06883FFB"/>
    <w:rsid w:val="068F48CC"/>
    <w:rsid w:val="06A023FD"/>
    <w:rsid w:val="06C11394"/>
    <w:rsid w:val="06C30854"/>
    <w:rsid w:val="06C91F10"/>
    <w:rsid w:val="06C93669"/>
    <w:rsid w:val="06CC69B4"/>
    <w:rsid w:val="06CD6519"/>
    <w:rsid w:val="06D84A8A"/>
    <w:rsid w:val="06DA70C9"/>
    <w:rsid w:val="06F36A7A"/>
    <w:rsid w:val="070F3D15"/>
    <w:rsid w:val="07122035"/>
    <w:rsid w:val="07171551"/>
    <w:rsid w:val="071D753B"/>
    <w:rsid w:val="07214293"/>
    <w:rsid w:val="072144C3"/>
    <w:rsid w:val="0734792D"/>
    <w:rsid w:val="073F3648"/>
    <w:rsid w:val="074A5F1C"/>
    <w:rsid w:val="07622262"/>
    <w:rsid w:val="076B1424"/>
    <w:rsid w:val="078F46FE"/>
    <w:rsid w:val="0793078D"/>
    <w:rsid w:val="07970803"/>
    <w:rsid w:val="07A9337A"/>
    <w:rsid w:val="07AB0366"/>
    <w:rsid w:val="07BA2D18"/>
    <w:rsid w:val="07BF78DC"/>
    <w:rsid w:val="07CD3CDD"/>
    <w:rsid w:val="07E96697"/>
    <w:rsid w:val="07F200E1"/>
    <w:rsid w:val="0818374A"/>
    <w:rsid w:val="08230B3B"/>
    <w:rsid w:val="082A2AD6"/>
    <w:rsid w:val="08315282"/>
    <w:rsid w:val="085145EC"/>
    <w:rsid w:val="085C2CEC"/>
    <w:rsid w:val="085D2367"/>
    <w:rsid w:val="085E5DBE"/>
    <w:rsid w:val="086C5FBC"/>
    <w:rsid w:val="08721912"/>
    <w:rsid w:val="087A447C"/>
    <w:rsid w:val="087B0F4C"/>
    <w:rsid w:val="087C4EF8"/>
    <w:rsid w:val="088467B6"/>
    <w:rsid w:val="089A1F2A"/>
    <w:rsid w:val="08AD5856"/>
    <w:rsid w:val="08C13553"/>
    <w:rsid w:val="08C3786B"/>
    <w:rsid w:val="08C46EED"/>
    <w:rsid w:val="08C71DC3"/>
    <w:rsid w:val="08CA745A"/>
    <w:rsid w:val="08D538D0"/>
    <w:rsid w:val="08E37BAD"/>
    <w:rsid w:val="08EE2ED2"/>
    <w:rsid w:val="08F869E1"/>
    <w:rsid w:val="08FB28C9"/>
    <w:rsid w:val="090F5236"/>
    <w:rsid w:val="0924260A"/>
    <w:rsid w:val="092553BF"/>
    <w:rsid w:val="09294F7D"/>
    <w:rsid w:val="092C61F8"/>
    <w:rsid w:val="095C0F0C"/>
    <w:rsid w:val="09646BE3"/>
    <w:rsid w:val="09674661"/>
    <w:rsid w:val="096B2177"/>
    <w:rsid w:val="097E672F"/>
    <w:rsid w:val="09825F02"/>
    <w:rsid w:val="09A2613C"/>
    <w:rsid w:val="09AB6C45"/>
    <w:rsid w:val="09E20449"/>
    <w:rsid w:val="09E5085D"/>
    <w:rsid w:val="09FC388C"/>
    <w:rsid w:val="0A0F5E0F"/>
    <w:rsid w:val="0A153B05"/>
    <w:rsid w:val="0A2802DC"/>
    <w:rsid w:val="0A4A63EE"/>
    <w:rsid w:val="0A4B6F30"/>
    <w:rsid w:val="0A665D1E"/>
    <w:rsid w:val="0A731B50"/>
    <w:rsid w:val="0A8D4756"/>
    <w:rsid w:val="0A8E34E6"/>
    <w:rsid w:val="0AB60DEE"/>
    <w:rsid w:val="0AC9278E"/>
    <w:rsid w:val="0AED4366"/>
    <w:rsid w:val="0B1A3243"/>
    <w:rsid w:val="0B2E106F"/>
    <w:rsid w:val="0B2F5F6B"/>
    <w:rsid w:val="0B3E5ECD"/>
    <w:rsid w:val="0B5950D6"/>
    <w:rsid w:val="0B61638C"/>
    <w:rsid w:val="0B724963"/>
    <w:rsid w:val="0B725220"/>
    <w:rsid w:val="0B7D64C0"/>
    <w:rsid w:val="0B802D0D"/>
    <w:rsid w:val="0B8D5FD9"/>
    <w:rsid w:val="0B9641FD"/>
    <w:rsid w:val="0B9A6376"/>
    <w:rsid w:val="0B9C3E91"/>
    <w:rsid w:val="0BC176FB"/>
    <w:rsid w:val="0BE079EF"/>
    <w:rsid w:val="0BF37D09"/>
    <w:rsid w:val="0BF41031"/>
    <w:rsid w:val="0C0C5682"/>
    <w:rsid w:val="0C1D57F9"/>
    <w:rsid w:val="0C3B3B55"/>
    <w:rsid w:val="0C3C0E05"/>
    <w:rsid w:val="0C536A26"/>
    <w:rsid w:val="0C684AC1"/>
    <w:rsid w:val="0C7962B1"/>
    <w:rsid w:val="0C7A666C"/>
    <w:rsid w:val="0C7D5162"/>
    <w:rsid w:val="0C867BFF"/>
    <w:rsid w:val="0C953742"/>
    <w:rsid w:val="0CA242EA"/>
    <w:rsid w:val="0CA971D2"/>
    <w:rsid w:val="0CB10B0C"/>
    <w:rsid w:val="0CB30E04"/>
    <w:rsid w:val="0CC66B41"/>
    <w:rsid w:val="0CDC08AE"/>
    <w:rsid w:val="0CE077FD"/>
    <w:rsid w:val="0D141518"/>
    <w:rsid w:val="0D1561A4"/>
    <w:rsid w:val="0D225A10"/>
    <w:rsid w:val="0D2706A2"/>
    <w:rsid w:val="0D3B5CCB"/>
    <w:rsid w:val="0D495A0D"/>
    <w:rsid w:val="0D4D2BE5"/>
    <w:rsid w:val="0D613BA3"/>
    <w:rsid w:val="0D744565"/>
    <w:rsid w:val="0D78361E"/>
    <w:rsid w:val="0D7F564D"/>
    <w:rsid w:val="0D835665"/>
    <w:rsid w:val="0D8760F3"/>
    <w:rsid w:val="0D955077"/>
    <w:rsid w:val="0D957F13"/>
    <w:rsid w:val="0DB243FB"/>
    <w:rsid w:val="0DC3083F"/>
    <w:rsid w:val="0DDB3390"/>
    <w:rsid w:val="0DDC50DA"/>
    <w:rsid w:val="0DE052FE"/>
    <w:rsid w:val="0DFF2B1F"/>
    <w:rsid w:val="0E08297D"/>
    <w:rsid w:val="0E214766"/>
    <w:rsid w:val="0E2340BB"/>
    <w:rsid w:val="0E3330D0"/>
    <w:rsid w:val="0E3916C1"/>
    <w:rsid w:val="0E41234B"/>
    <w:rsid w:val="0E440278"/>
    <w:rsid w:val="0E4E5304"/>
    <w:rsid w:val="0E537C3C"/>
    <w:rsid w:val="0E5576D4"/>
    <w:rsid w:val="0E7519BC"/>
    <w:rsid w:val="0E77636A"/>
    <w:rsid w:val="0E7A79F2"/>
    <w:rsid w:val="0E992415"/>
    <w:rsid w:val="0E9E4D5A"/>
    <w:rsid w:val="0EAA7EC3"/>
    <w:rsid w:val="0EBC41E1"/>
    <w:rsid w:val="0EC36C70"/>
    <w:rsid w:val="0EC81E9E"/>
    <w:rsid w:val="0EC82AA3"/>
    <w:rsid w:val="0ECE66B5"/>
    <w:rsid w:val="0EDC2C57"/>
    <w:rsid w:val="0EE5481D"/>
    <w:rsid w:val="0EF72277"/>
    <w:rsid w:val="0EFC7665"/>
    <w:rsid w:val="0F0B1AB9"/>
    <w:rsid w:val="0F11785B"/>
    <w:rsid w:val="0F193A29"/>
    <w:rsid w:val="0F21557B"/>
    <w:rsid w:val="0F372967"/>
    <w:rsid w:val="0F3747E7"/>
    <w:rsid w:val="0F3D56F1"/>
    <w:rsid w:val="0F5107D2"/>
    <w:rsid w:val="0F5413E6"/>
    <w:rsid w:val="0F5963C8"/>
    <w:rsid w:val="0F7770B6"/>
    <w:rsid w:val="0F8F0E66"/>
    <w:rsid w:val="0F906704"/>
    <w:rsid w:val="0FDA7DDA"/>
    <w:rsid w:val="0FF721A8"/>
    <w:rsid w:val="0FFA1150"/>
    <w:rsid w:val="10490BAD"/>
    <w:rsid w:val="10644F61"/>
    <w:rsid w:val="106C0466"/>
    <w:rsid w:val="108F05CA"/>
    <w:rsid w:val="109241A4"/>
    <w:rsid w:val="109615A9"/>
    <w:rsid w:val="109658C1"/>
    <w:rsid w:val="10A81A96"/>
    <w:rsid w:val="10B73998"/>
    <w:rsid w:val="10D6699E"/>
    <w:rsid w:val="10E63E4A"/>
    <w:rsid w:val="11104883"/>
    <w:rsid w:val="11291D63"/>
    <w:rsid w:val="112D72C6"/>
    <w:rsid w:val="113F3856"/>
    <w:rsid w:val="11683FF9"/>
    <w:rsid w:val="118038D3"/>
    <w:rsid w:val="118C0750"/>
    <w:rsid w:val="11A228E7"/>
    <w:rsid w:val="11A50508"/>
    <w:rsid w:val="11A63D04"/>
    <w:rsid w:val="11BD5A6D"/>
    <w:rsid w:val="11FD3DC0"/>
    <w:rsid w:val="120639A8"/>
    <w:rsid w:val="12121726"/>
    <w:rsid w:val="122250B4"/>
    <w:rsid w:val="123135AD"/>
    <w:rsid w:val="123E5A4F"/>
    <w:rsid w:val="12447798"/>
    <w:rsid w:val="125D4125"/>
    <w:rsid w:val="12771554"/>
    <w:rsid w:val="12AA1F62"/>
    <w:rsid w:val="12AE4121"/>
    <w:rsid w:val="12B51A8D"/>
    <w:rsid w:val="12B92975"/>
    <w:rsid w:val="12B9407D"/>
    <w:rsid w:val="12BE3AE7"/>
    <w:rsid w:val="12C041D4"/>
    <w:rsid w:val="12CF1D40"/>
    <w:rsid w:val="12E93494"/>
    <w:rsid w:val="12F14732"/>
    <w:rsid w:val="12F7602D"/>
    <w:rsid w:val="13437E80"/>
    <w:rsid w:val="134C3538"/>
    <w:rsid w:val="13583391"/>
    <w:rsid w:val="137F4008"/>
    <w:rsid w:val="13866322"/>
    <w:rsid w:val="1390333E"/>
    <w:rsid w:val="139C110B"/>
    <w:rsid w:val="13A51648"/>
    <w:rsid w:val="13BE3B38"/>
    <w:rsid w:val="13C30FC1"/>
    <w:rsid w:val="13C90583"/>
    <w:rsid w:val="13CD4D8B"/>
    <w:rsid w:val="13D15059"/>
    <w:rsid w:val="13E476E4"/>
    <w:rsid w:val="13F672DD"/>
    <w:rsid w:val="13FB7B95"/>
    <w:rsid w:val="13FF44D4"/>
    <w:rsid w:val="140A2CA4"/>
    <w:rsid w:val="140C5848"/>
    <w:rsid w:val="140E7C96"/>
    <w:rsid w:val="1415743A"/>
    <w:rsid w:val="141B497D"/>
    <w:rsid w:val="14480142"/>
    <w:rsid w:val="144E5CD4"/>
    <w:rsid w:val="145B0E4C"/>
    <w:rsid w:val="145F0D59"/>
    <w:rsid w:val="14627312"/>
    <w:rsid w:val="1483457B"/>
    <w:rsid w:val="14933D0B"/>
    <w:rsid w:val="149B6760"/>
    <w:rsid w:val="149D2922"/>
    <w:rsid w:val="14BF7340"/>
    <w:rsid w:val="14CA4A78"/>
    <w:rsid w:val="14D87DF4"/>
    <w:rsid w:val="14F13DA6"/>
    <w:rsid w:val="14FF6FC2"/>
    <w:rsid w:val="15060BB2"/>
    <w:rsid w:val="150824BE"/>
    <w:rsid w:val="15220493"/>
    <w:rsid w:val="15222491"/>
    <w:rsid w:val="15286C92"/>
    <w:rsid w:val="15525599"/>
    <w:rsid w:val="155C1FAD"/>
    <w:rsid w:val="155E010D"/>
    <w:rsid w:val="156063FA"/>
    <w:rsid w:val="156F1F39"/>
    <w:rsid w:val="157674F6"/>
    <w:rsid w:val="157A419A"/>
    <w:rsid w:val="158270AF"/>
    <w:rsid w:val="158C2B13"/>
    <w:rsid w:val="158E79FA"/>
    <w:rsid w:val="158F210D"/>
    <w:rsid w:val="159427E9"/>
    <w:rsid w:val="15AA1B7E"/>
    <w:rsid w:val="15BB0608"/>
    <w:rsid w:val="15C225B8"/>
    <w:rsid w:val="15D44A58"/>
    <w:rsid w:val="15DD5A1F"/>
    <w:rsid w:val="15E12A88"/>
    <w:rsid w:val="15E95672"/>
    <w:rsid w:val="15F9350E"/>
    <w:rsid w:val="15FF6183"/>
    <w:rsid w:val="16054980"/>
    <w:rsid w:val="160571EE"/>
    <w:rsid w:val="161672D6"/>
    <w:rsid w:val="161C6FCA"/>
    <w:rsid w:val="161D609B"/>
    <w:rsid w:val="16271D63"/>
    <w:rsid w:val="162A3755"/>
    <w:rsid w:val="164B1111"/>
    <w:rsid w:val="1654369C"/>
    <w:rsid w:val="165B2ECB"/>
    <w:rsid w:val="165E7351"/>
    <w:rsid w:val="1661285E"/>
    <w:rsid w:val="167A7800"/>
    <w:rsid w:val="16B22BC5"/>
    <w:rsid w:val="16BD2FB9"/>
    <w:rsid w:val="16C05D40"/>
    <w:rsid w:val="16C9246D"/>
    <w:rsid w:val="16D96177"/>
    <w:rsid w:val="16DB2490"/>
    <w:rsid w:val="16DE0A1B"/>
    <w:rsid w:val="16E7731D"/>
    <w:rsid w:val="16EE2B7A"/>
    <w:rsid w:val="17060D55"/>
    <w:rsid w:val="1723727A"/>
    <w:rsid w:val="17276F5B"/>
    <w:rsid w:val="174F4BA1"/>
    <w:rsid w:val="1764674F"/>
    <w:rsid w:val="176C095E"/>
    <w:rsid w:val="17776868"/>
    <w:rsid w:val="178F5381"/>
    <w:rsid w:val="179425B4"/>
    <w:rsid w:val="179855D1"/>
    <w:rsid w:val="179F1E7A"/>
    <w:rsid w:val="17A37760"/>
    <w:rsid w:val="17A613DC"/>
    <w:rsid w:val="17AA27DB"/>
    <w:rsid w:val="17AF2DFF"/>
    <w:rsid w:val="17B943BD"/>
    <w:rsid w:val="17C527E0"/>
    <w:rsid w:val="17DD5D9F"/>
    <w:rsid w:val="18072BBA"/>
    <w:rsid w:val="180B6554"/>
    <w:rsid w:val="1831099E"/>
    <w:rsid w:val="184061B8"/>
    <w:rsid w:val="184E13FF"/>
    <w:rsid w:val="18675E2F"/>
    <w:rsid w:val="1869385F"/>
    <w:rsid w:val="186A7F3C"/>
    <w:rsid w:val="188A0D46"/>
    <w:rsid w:val="188D7449"/>
    <w:rsid w:val="189553E8"/>
    <w:rsid w:val="189A62E8"/>
    <w:rsid w:val="18A859A0"/>
    <w:rsid w:val="18AC426F"/>
    <w:rsid w:val="18D76F2C"/>
    <w:rsid w:val="18DA672E"/>
    <w:rsid w:val="18EF4764"/>
    <w:rsid w:val="18F279A0"/>
    <w:rsid w:val="18F5507D"/>
    <w:rsid w:val="191372F1"/>
    <w:rsid w:val="191F2375"/>
    <w:rsid w:val="192A6B82"/>
    <w:rsid w:val="192A78E5"/>
    <w:rsid w:val="192C06DB"/>
    <w:rsid w:val="192E161C"/>
    <w:rsid w:val="19607D81"/>
    <w:rsid w:val="19640C89"/>
    <w:rsid w:val="196B73C9"/>
    <w:rsid w:val="197D1DB8"/>
    <w:rsid w:val="199503FD"/>
    <w:rsid w:val="19A45D24"/>
    <w:rsid w:val="19AF5CF6"/>
    <w:rsid w:val="19C63D4F"/>
    <w:rsid w:val="19C65E12"/>
    <w:rsid w:val="19C735BB"/>
    <w:rsid w:val="19DA3A4C"/>
    <w:rsid w:val="19EF3BE4"/>
    <w:rsid w:val="19F256A0"/>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63647"/>
    <w:rsid w:val="1ADC0421"/>
    <w:rsid w:val="1AE00854"/>
    <w:rsid w:val="1AEA71EF"/>
    <w:rsid w:val="1AF50990"/>
    <w:rsid w:val="1B06010D"/>
    <w:rsid w:val="1B0D5CFB"/>
    <w:rsid w:val="1B1C3409"/>
    <w:rsid w:val="1B2516D5"/>
    <w:rsid w:val="1B2B089B"/>
    <w:rsid w:val="1B371569"/>
    <w:rsid w:val="1B384D1E"/>
    <w:rsid w:val="1B3C4343"/>
    <w:rsid w:val="1B3F102F"/>
    <w:rsid w:val="1B4E4B33"/>
    <w:rsid w:val="1B4E745B"/>
    <w:rsid w:val="1B6B549A"/>
    <w:rsid w:val="1B7555F3"/>
    <w:rsid w:val="1B7E5BC4"/>
    <w:rsid w:val="1B870B5B"/>
    <w:rsid w:val="1B8B6B38"/>
    <w:rsid w:val="1B9A27F5"/>
    <w:rsid w:val="1BA220C5"/>
    <w:rsid w:val="1BA71412"/>
    <w:rsid w:val="1BBC09F6"/>
    <w:rsid w:val="1BBE4801"/>
    <w:rsid w:val="1BC7007B"/>
    <w:rsid w:val="1BD34730"/>
    <w:rsid w:val="1BDF455D"/>
    <w:rsid w:val="1BEE6734"/>
    <w:rsid w:val="1C024980"/>
    <w:rsid w:val="1C1A373E"/>
    <w:rsid w:val="1C297CFC"/>
    <w:rsid w:val="1C3571F6"/>
    <w:rsid w:val="1C3672FA"/>
    <w:rsid w:val="1C3A751E"/>
    <w:rsid w:val="1C423FC4"/>
    <w:rsid w:val="1C47233F"/>
    <w:rsid w:val="1C5D00DA"/>
    <w:rsid w:val="1C7D0C1A"/>
    <w:rsid w:val="1C7E2DD6"/>
    <w:rsid w:val="1C905109"/>
    <w:rsid w:val="1C97141E"/>
    <w:rsid w:val="1CA53FA1"/>
    <w:rsid w:val="1CAD4CCB"/>
    <w:rsid w:val="1CAF7573"/>
    <w:rsid w:val="1CCC40C9"/>
    <w:rsid w:val="1CDD5D84"/>
    <w:rsid w:val="1D134F1F"/>
    <w:rsid w:val="1D186F9D"/>
    <w:rsid w:val="1D1C598A"/>
    <w:rsid w:val="1D504421"/>
    <w:rsid w:val="1D7E7249"/>
    <w:rsid w:val="1D7F6660"/>
    <w:rsid w:val="1D956B63"/>
    <w:rsid w:val="1DA155EF"/>
    <w:rsid w:val="1DA251E1"/>
    <w:rsid w:val="1DA67F64"/>
    <w:rsid w:val="1DA93704"/>
    <w:rsid w:val="1DB875D1"/>
    <w:rsid w:val="1DC5127B"/>
    <w:rsid w:val="1DD3267D"/>
    <w:rsid w:val="1DDE1A57"/>
    <w:rsid w:val="1DE4729F"/>
    <w:rsid w:val="1DF679C8"/>
    <w:rsid w:val="1E224F27"/>
    <w:rsid w:val="1E2A7432"/>
    <w:rsid w:val="1E343C5D"/>
    <w:rsid w:val="1E37411F"/>
    <w:rsid w:val="1E407993"/>
    <w:rsid w:val="1E5E301B"/>
    <w:rsid w:val="1E634732"/>
    <w:rsid w:val="1E752FA6"/>
    <w:rsid w:val="1E77318B"/>
    <w:rsid w:val="1EB80E1D"/>
    <w:rsid w:val="1EC80D34"/>
    <w:rsid w:val="1ECF1323"/>
    <w:rsid w:val="1ECF4A99"/>
    <w:rsid w:val="1EDC33BC"/>
    <w:rsid w:val="1EF72D37"/>
    <w:rsid w:val="1F211865"/>
    <w:rsid w:val="1F295D72"/>
    <w:rsid w:val="1F4325C8"/>
    <w:rsid w:val="1F520B16"/>
    <w:rsid w:val="1F595BBB"/>
    <w:rsid w:val="1F603D20"/>
    <w:rsid w:val="1F7044DA"/>
    <w:rsid w:val="1F777E85"/>
    <w:rsid w:val="1F782E4D"/>
    <w:rsid w:val="1F7C7957"/>
    <w:rsid w:val="1FC127CE"/>
    <w:rsid w:val="1FD21E35"/>
    <w:rsid w:val="1FD96681"/>
    <w:rsid w:val="1FE10390"/>
    <w:rsid w:val="1FE110D8"/>
    <w:rsid w:val="1FE423FF"/>
    <w:rsid w:val="1FE73560"/>
    <w:rsid w:val="1FEE7A9C"/>
    <w:rsid w:val="200E58BD"/>
    <w:rsid w:val="201E0122"/>
    <w:rsid w:val="2041466C"/>
    <w:rsid w:val="204C064C"/>
    <w:rsid w:val="205164A7"/>
    <w:rsid w:val="206D4243"/>
    <w:rsid w:val="207714C5"/>
    <w:rsid w:val="207B590B"/>
    <w:rsid w:val="2090238B"/>
    <w:rsid w:val="209A2CD8"/>
    <w:rsid w:val="20A434B3"/>
    <w:rsid w:val="20BA4AFB"/>
    <w:rsid w:val="20BA6502"/>
    <w:rsid w:val="20CD6B95"/>
    <w:rsid w:val="20CD7D4E"/>
    <w:rsid w:val="20E20BBA"/>
    <w:rsid w:val="20E737F7"/>
    <w:rsid w:val="20EC03B6"/>
    <w:rsid w:val="20EE04E5"/>
    <w:rsid w:val="211A5AC0"/>
    <w:rsid w:val="21297D3A"/>
    <w:rsid w:val="212E17DE"/>
    <w:rsid w:val="213271D8"/>
    <w:rsid w:val="213E655D"/>
    <w:rsid w:val="214D4FE0"/>
    <w:rsid w:val="215026E7"/>
    <w:rsid w:val="21592706"/>
    <w:rsid w:val="21637931"/>
    <w:rsid w:val="216D7544"/>
    <w:rsid w:val="21712A16"/>
    <w:rsid w:val="21825FF7"/>
    <w:rsid w:val="218E2266"/>
    <w:rsid w:val="21900AEB"/>
    <w:rsid w:val="2194776B"/>
    <w:rsid w:val="21B80AA5"/>
    <w:rsid w:val="21C42F62"/>
    <w:rsid w:val="21D017C1"/>
    <w:rsid w:val="21D2685E"/>
    <w:rsid w:val="2214054C"/>
    <w:rsid w:val="221703FC"/>
    <w:rsid w:val="222A0690"/>
    <w:rsid w:val="222A56CF"/>
    <w:rsid w:val="22305995"/>
    <w:rsid w:val="225216B5"/>
    <w:rsid w:val="225E20C5"/>
    <w:rsid w:val="22623CF6"/>
    <w:rsid w:val="227B42A0"/>
    <w:rsid w:val="228A40D4"/>
    <w:rsid w:val="228F22EB"/>
    <w:rsid w:val="228F6A6B"/>
    <w:rsid w:val="22922A7B"/>
    <w:rsid w:val="229478A6"/>
    <w:rsid w:val="22A03D45"/>
    <w:rsid w:val="22A60967"/>
    <w:rsid w:val="22B37446"/>
    <w:rsid w:val="22BB2C46"/>
    <w:rsid w:val="22C750B8"/>
    <w:rsid w:val="22CB0F22"/>
    <w:rsid w:val="22D126DE"/>
    <w:rsid w:val="22D279A8"/>
    <w:rsid w:val="22D8192D"/>
    <w:rsid w:val="22DE275C"/>
    <w:rsid w:val="22F05B87"/>
    <w:rsid w:val="23034661"/>
    <w:rsid w:val="23047581"/>
    <w:rsid w:val="230511FB"/>
    <w:rsid w:val="230A7C6A"/>
    <w:rsid w:val="230E6CDE"/>
    <w:rsid w:val="231D7D99"/>
    <w:rsid w:val="233F7861"/>
    <w:rsid w:val="2342728C"/>
    <w:rsid w:val="234F141B"/>
    <w:rsid w:val="235408E6"/>
    <w:rsid w:val="236F7B2F"/>
    <w:rsid w:val="23774488"/>
    <w:rsid w:val="23A308EE"/>
    <w:rsid w:val="23AD2144"/>
    <w:rsid w:val="23B07449"/>
    <w:rsid w:val="23BB4EE9"/>
    <w:rsid w:val="23CC55B1"/>
    <w:rsid w:val="23D60547"/>
    <w:rsid w:val="23DA1C5E"/>
    <w:rsid w:val="23EB0393"/>
    <w:rsid w:val="23EC61B5"/>
    <w:rsid w:val="23FD5BE3"/>
    <w:rsid w:val="24026629"/>
    <w:rsid w:val="24072EA9"/>
    <w:rsid w:val="242420FA"/>
    <w:rsid w:val="2438587A"/>
    <w:rsid w:val="24386853"/>
    <w:rsid w:val="243E50DA"/>
    <w:rsid w:val="24535E21"/>
    <w:rsid w:val="246D212F"/>
    <w:rsid w:val="24715F69"/>
    <w:rsid w:val="24760A5D"/>
    <w:rsid w:val="24992B5E"/>
    <w:rsid w:val="24A9218A"/>
    <w:rsid w:val="24B140D4"/>
    <w:rsid w:val="24B33FFF"/>
    <w:rsid w:val="24BE0177"/>
    <w:rsid w:val="24C569C9"/>
    <w:rsid w:val="24DE7825"/>
    <w:rsid w:val="24E61F36"/>
    <w:rsid w:val="24F17095"/>
    <w:rsid w:val="24F214B5"/>
    <w:rsid w:val="24F35147"/>
    <w:rsid w:val="24F907DC"/>
    <w:rsid w:val="250D35C2"/>
    <w:rsid w:val="252437DA"/>
    <w:rsid w:val="252A03F9"/>
    <w:rsid w:val="252F365E"/>
    <w:rsid w:val="25324A24"/>
    <w:rsid w:val="25560FB4"/>
    <w:rsid w:val="255B68D6"/>
    <w:rsid w:val="256271F2"/>
    <w:rsid w:val="256E3452"/>
    <w:rsid w:val="25821C68"/>
    <w:rsid w:val="258D3BA1"/>
    <w:rsid w:val="25AB45FB"/>
    <w:rsid w:val="25B022B3"/>
    <w:rsid w:val="25B74631"/>
    <w:rsid w:val="25B91E90"/>
    <w:rsid w:val="25C902CF"/>
    <w:rsid w:val="25DD4552"/>
    <w:rsid w:val="25E513D9"/>
    <w:rsid w:val="25EE6A79"/>
    <w:rsid w:val="25EF43C8"/>
    <w:rsid w:val="26075FA8"/>
    <w:rsid w:val="2623756A"/>
    <w:rsid w:val="262E08BF"/>
    <w:rsid w:val="26310EA6"/>
    <w:rsid w:val="263951B2"/>
    <w:rsid w:val="263E55AD"/>
    <w:rsid w:val="264B37D3"/>
    <w:rsid w:val="26544324"/>
    <w:rsid w:val="265B2B39"/>
    <w:rsid w:val="265F7A26"/>
    <w:rsid w:val="267F4FDD"/>
    <w:rsid w:val="26942FFE"/>
    <w:rsid w:val="26965DCF"/>
    <w:rsid w:val="269A23BD"/>
    <w:rsid w:val="26D609E2"/>
    <w:rsid w:val="26DE1868"/>
    <w:rsid w:val="26ED14DB"/>
    <w:rsid w:val="270F3C75"/>
    <w:rsid w:val="27157D13"/>
    <w:rsid w:val="27543CE2"/>
    <w:rsid w:val="2759230A"/>
    <w:rsid w:val="276136D1"/>
    <w:rsid w:val="2766357B"/>
    <w:rsid w:val="27814FF8"/>
    <w:rsid w:val="27885693"/>
    <w:rsid w:val="278E4856"/>
    <w:rsid w:val="27930B1B"/>
    <w:rsid w:val="279A6599"/>
    <w:rsid w:val="27A4419F"/>
    <w:rsid w:val="27A931B8"/>
    <w:rsid w:val="27AB7AFD"/>
    <w:rsid w:val="27B64635"/>
    <w:rsid w:val="27BD0876"/>
    <w:rsid w:val="27C42CCD"/>
    <w:rsid w:val="27C957F9"/>
    <w:rsid w:val="27CE6762"/>
    <w:rsid w:val="27DA0163"/>
    <w:rsid w:val="27ED6C77"/>
    <w:rsid w:val="27EF2EB7"/>
    <w:rsid w:val="27F84FA1"/>
    <w:rsid w:val="27FC6995"/>
    <w:rsid w:val="28096EEE"/>
    <w:rsid w:val="28140998"/>
    <w:rsid w:val="281C525D"/>
    <w:rsid w:val="283146AB"/>
    <w:rsid w:val="2834674F"/>
    <w:rsid w:val="28460713"/>
    <w:rsid w:val="28563053"/>
    <w:rsid w:val="28590369"/>
    <w:rsid w:val="285C7146"/>
    <w:rsid w:val="285D2A4F"/>
    <w:rsid w:val="28685F9C"/>
    <w:rsid w:val="288837AF"/>
    <w:rsid w:val="288B5171"/>
    <w:rsid w:val="288C6204"/>
    <w:rsid w:val="28954CDC"/>
    <w:rsid w:val="28A96A0F"/>
    <w:rsid w:val="28B71B2C"/>
    <w:rsid w:val="28C92B51"/>
    <w:rsid w:val="28D95DFB"/>
    <w:rsid w:val="28DD5033"/>
    <w:rsid w:val="28EE7A07"/>
    <w:rsid w:val="28FE675D"/>
    <w:rsid w:val="29003A13"/>
    <w:rsid w:val="29063378"/>
    <w:rsid w:val="290C7130"/>
    <w:rsid w:val="29115557"/>
    <w:rsid w:val="29115F0D"/>
    <w:rsid w:val="291D162A"/>
    <w:rsid w:val="291F3AAD"/>
    <w:rsid w:val="291F4F8E"/>
    <w:rsid w:val="292278A9"/>
    <w:rsid w:val="29284E13"/>
    <w:rsid w:val="29307D6E"/>
    <w:rsid w:val="293262FA"/>
    <w:rsid w:val="293C6591"/>
    <w:rsid w:val="294D06B9"/>
    <w:rsid w:val="2957531C"/>
    <w:rsid w:val="298C2425"/>
    <w:rsid w:val="29A113D7"/>
    <w:rsid w:val="29A14B0F"/>
    <w:rsid w:val="29C74C47"/>
    <w:rsid w:val="29CD4516"/>
    <w:rsid w:val="29E94589"/>
    <w:rsid w:val="2A155F81"/>
    <w:rsid w:val="2A1E2DE0"/>
    <w:rsid w:val="2A250847"/>
    <w:rsid w:val="2A261D32"/>
    <w:rsid w:val="2A2B222C"/>
    <w:rsid w:val="2A331695"/>
    <w:rsid w:val="2A442E66"/>
    <w:rsid w:val="2A4A1ED4"/>
    <w:rsid w:val="2A553548"/>
    <w:rsid w:val="2A7049D1"/>
    <w:rsid w:val="2A970008"/>
    <w:rsid w:val="2AA07961"/>
    <w:rsid w:val="2AA60E99"/>
    <w:rsid w:val="2AAE5692"/>
    <w:rsid w:val="2AB04251"/>
    <w:rsid w:val="2AB04D93"/>
    <w:rsid w:val="2ABE7215"/>
    <w:rsid w:val="2AD76897"/>
    <w:rsid w:val="2ADB482F"/>
    <w:rsid w:val="2AE01B62"/>
    <w:rsid w:val="2AE558B3"/>
    <w:rsid w:val="2AE8229B"/>
    <w:rsid w:val="2AE92316"/>
    <w:rsid w:val="2AEC42E5"/>
    <w:rsid w:val="2AED4F27"/>
    <w:rsid w:val="2B034D47"/>
    <w:rsid w:val="2B2629D8"/>
    <w:rsid w:val="2B271F5E"/>
    <w:rsid w:val="2B2D1028"/>
    <w:rsid w:val="2B2E3C18"/>
    <w:rsid w:val="2B406C5D"/>
    <w:rsid w:val="2B4D413E"/>
    <w:rsid w:val="2B557494"/>
    <w:rsid w:val="2B641C02"/>
    <w:rsid w:val="2B6F681F"/>
    <w:rsid w:val="2B8302EB"/>
    <w:rsid w:val="2B844BD6"/>
    <w:rsid w:val="2B893BA3"/>
    <w:rsid w:val="2B923A1C"/>
    <w:rsid w:val="2B992A15"/>
    <w:rsid w:val="2B9C061A"/>
    <w:rsid w:val="2B9E2538"/>
    <w:rsid w:val="2BBC1D86"/>
    <w:rsid w:val="2BC82480"/>
    <w:rsid w:val="2BEB375B"/>
    <w:rsid w:val="2BEB41DF"/>
    <w:rsid w:val="2BF50C7C"/>
    <w:rsid w:val="2BFB0E99"/>
    <w:rsid w:val="2C07332F"/>
    <w:rsid w:val="2C0B5FFC"/>
    <w:rsid w:val="2C0C4D11"/>
    <w:rsid w:val="2C1A5D63"/>
    <w:rsid w:val="2C2907BF"/>
    <w:rsid w:val="2C2A3701"/>
    <w:rsid w:val="2C5A1C73"/>
    <w:rsid w:val="2C5A6041"/>
    <w:rsid w:val="2C7208C6"/>
    <w:rsid w:val="2C80477B"/>
    <w:rsid w:val="2C8362B3"/>
    <w:rsid w:val="2C852D34"/>
    <w:rsid w:val="2C8F4F35"/>
    <w:rsid w:val="2CA73FE3"/>
    <w:rsid w:val="2CAD6FE3"/>
    <w:rsid w:val="2CAE516B"/>
    <w:rsid w:val="2CC91D44"/>
    <w:rsid w:val="2CD46AFB"/>
    <w:rsid w:val="2CDC2898"/>
    <w:rsid w:val="2CDC5F50"/>
    <w:rsid w:val="2CE15438"/>
    <w:rsid w:val="2D0155B6"/>
    <w:rsid w:val="2D0D651A"/>
    <w:rsid w:val="2D151F6D"/>
    <w:rsid w:val="2D1D4166"/>
    <w:rsid w:val="2D291F09"/>
    <w:rsid w:val="2D3416FA"/>
    <w:rsid w:val="2D36293A"/>
    <w:rsid w:val="2D402CFE"/>
    <w:rsid w:val="2D5152AE"/>
    <w:rsid w:val="2D555CB7"/>
    <w:rsid w:val="2D595EBC"/>
    <w:rsid w:val="2D5E586A"/>
    <w:rsid w:val="2D61248D"/>
    <w:rsid w:val="2D68440E"/>
    <w:rsid w:val="2D6D5152"/>
    <w:rsid w:val="2D812190"/>
    <w:rsid w:val="2DA94150"/>
    <w:rsid w:val="2DBB0B00"/>
    <w:rsid w:val="2DD854F5"/>
    <w:rsid w:val="2DEA643F"/>
    <w:rsid w:val="2E000AC6"/>
    <w:rsid w:val="2E0C79CF"/>
    <w:rsid w:val="2E1176AC"/>
    <w:rsid w:val="2E1F06AB"/>
    <w:rsid w:val="2E26750E"/>
    <w:rsid w:val="2E2701FF"/>
    <w:rsid w:val="2E273353"/>
    <w:rsid w:val="2E2D216F"/>
    <w:rsid w:val="2E3E4C3A"/>
    <w:rsid w:val="2E434249"/>
    <w:rsid w:val="2E51332D"/>
    <w:rsid w:val="2E613ECA"/>
    <w:rsid w:val="2E627EA9"/>
    <w:rsid w:val="2E663F09"/>
    <w:rsid w:val="2EA4705E"/>
    <w:rsid w:val="2EA5244A"/>
    <w:rsid w:val="2EC872A0"/>
    <w:rsid w:val="2ECB7AE0"/>
    <w:rsid w:val="2EEA1087"/>
    <w:rsid w:val="2EEF5B78"/>
    <w:rsid w:val="2EF90C24"/>
    <w:rsid w:val="2F0E5D72"/>
    <w:rsid w:val="2F104493"/>
    <w:rsid w:val="2F235269"/>
    <w:rsid w:val="2F322289"/>
    <w:rsid w:val="2F3770E3"/>
    <w:rsid w:val="2F413C94"/>
    <w:rsid w:val="2F494297"/>
    <w:rsid w:val="2F4B1C2D"/>
    <w:rsid w:val="2F691CE7"/>
    <w:rsid w:val="2F787B26"/>
    <w:rsid w:val="2F7D0DE5"/>
    <w:rsid w:val="2F7F3D54"/>
    <w:rsid w:val="2F8B2E0E"/>
    <w:rsid w:val="2F907976"/>
    <w:rsid w:val="2FA442D1"/>
    <w:rsid w:val="2FBA0848"/>
    <w:rsid w:val="2FC15AF9"/>
    <w:rsid w:val="2FCF12B0"/>
    <w:rsid w:val="2FDC4E75"/>
    <w:rsid w:val="2FE85726"/>
    <w:rsid w:val="301334D4"/>
    <w:rsid w:val="302C5AB3"/>
    <w:rsid w:val="302F30EA"/>
    <w:rsid w:val="304570D6"/>
    <w:rsid w:val="30523FBD"/>
    <w:rsid w:val="3056178E"/>
    <w:rsid w:val="30571C73"/>
    <w:rsid w:val="305F2DE8"/>
    <w:rsid w:val="305F610F"/>
    <w:rsid w:val="3063595B"/>
    <w:rsid w:val="306A1C37"/>
    <w:rsid w:val="30790CC0"/>
    <w:rsid w:val="308B7DB2"/>
    <w:rsid w:val="30943D7F"/>
    <w:rsid w:val="309460D4"/>
    <w:rsid w:val="309C7501"/>
    <w:rsid w:val="30A375B7"/>
    <w:rsid w:val="30A70282"/>
    <w:rsid w:val="30A819D5"/>
    <w:rsid w:val="30AE3572"/>
    <w:rsid w:val="30DB63B0"/>
    <w:rsid w:val="30DC4E37"/>
    <w:rsid w:val="30DC72B8"/>
    <w:rsid w:val="30E21C94"/>
    <w:rsid w:val="30F37FC7"/>
    <w:rsid w:val="30F62D03"/>
    <w:rsid w:val="30FF1022"/>
    <w:rsid w:val="30FF1DEC"/>
    <w:rsid w:val="3103748A"/>
    <w:rsid w:val="310D7287"/>
    <w:rsid w:val="31180414"/>
    <w:rsid w:val="312C2F69"/>
    <w:rsid w:val="313A0372"/>
    <w:rsid w:val="31414D46"/>
    <w:rsid w:val="3162168B"/>
    <w:rsid w:val="316535BE"/>
    <w:rsid w:val="316C26E3"/>
    <w:rsid w:val="317B29B7"/>
    <w:rsid w:val="31A43590"/>
    <w:rsid w:val="31B6217A"/>
    <w:rsid w:val="31BF532C"/>
    <w:rsid w:val="31E57565"/>
    <w:rsid w:val="31EC2DDB"/>
    <w:rsid w:val="31F27F9B"/>
    <w:rsid w:val="31F72F19"/>
    <w:rsid w:val="321A22CD"/>
    <w:rsid w:val="32305666"/>
    <w:rsid w:val="32452FD4"/>
    <w:rsid w:val="3254692A"/>
    <w:rsid w:val="32582533"/>
    <w:rsid w:val="32601632"/>
    <w:rsid w:val="32721706"/>
    <w:rsid w:val="32743FF8"/>
    <w:rsid w:val="328D4D87"/>
    <w:rsid w:val="328F399D"/>
    <w:rsid w:val="32946609"/>
    <w:rsid w:val="32987EA1"/>
    <w:rsid w:val="32A57DB8"/>
    <w:rsid w:val="32EC2013"/>
    <w:rsid w:val="32F7411E"/>
    <w:rsid w:val="33021368"/>
    <w:rsid w:val="33093C5C"/>
    <w:rsid w:val="33121D18"/>
    <w:rsid w:val="33133DBA"/>
    <w:rsid w:val="33294831"/>
    <w:rsid w:val="332C5A43"/>
    <w:rsid w:val="33312E9C"/>
    <w:rsid w:val="33324BBF"/>
    <w:rsid w:val="334138EA"/>
    <w:rsid w:val="33491F36"/>
    <w:rsid w:val="33664E15"/>
    <w:rsid w:val="3373089A"/>
    <w:rsid w:val="33835F12"/>
    <w:rsid w:val="33883009"/>
    <w:rsid w:val="33917AD8"/>
    <w:rsid w:val="339433F2"/>
    <w:rsid w:val="339F751B"/>
    <w:rsid w:val="33B2596A"/>
    <w:rsid w:val="33BF1A08"/>
    <w:rsid w:val="33C65B01"/>
    <w:rsid w:val="33CC2F57"/>
    <w:rsid w:val="33D07732"/>
    <w:rsid w:val="33D44147"/>
    <w:rsid w:val="33DF3033"/>
    <w:rsid w:val="33F4106A"/>
    <w:rsid w:val="33F91674"/>
    <w:rsid w:val="33FA7A53"/>
    <w:rsid w:val="33FE59C9"/>
    <w:rsid w:val="34110FF9"/>
    <w:rsid w:val="3421003E"/>
    <w:rsid w:val="342542D1"/>
    <w:rsid w:val="342B07D0"/>
    <w:rsid w:val="3431732F"/>
    <w:rsid w:val="34385515"/>
    <w:rsid w:val="344175CA"/>
    <w:rsid w:val="345F4740"/>
    <w:rsid w:val="346C2BDC"/>
    <w:rsid w:val="346F0383"/>
    <w:rsid w:val="347A4842"/>
    <w:rsid w:val="347C1F8E"/>
    <w:rsid w:val="349A14CC"/>
    <w:rsid w:val="349E15E4"/>
    <w:rsid w:val="349E7311"/>
    <w:rsid w:val="34AC3B1F"/>
    <w:rsid w:val="34E63221"/>
    <w:rsid w:val="34EA3595"/>
    <w:rsid w:val="34F31159"/>
    <w:rsid w:val="34F61BA3"/>
    <w:rsid w:val="35015811"/>
    <w:rsid w:val="35045109"/>
    <w:rsid w:val="35063773"/>
    <w:rsid w:val="35096F4F"/>
    <w:rsid w:val="350C0171"/>
    <w:rsid w:val="351F54F6"/>
    <w:rsid w:val="35314625"/>
    <w:rsid w:val="35317422"/>
    <w:rsid w:val="3533663A"/>
    <w:rsid w:val="35544143"/>
    <w:rsid w:val="3557388E"/>
    <w:rsid w:val="35580550"/>
    <w:rsid w:val="35684E72"/>
    <w:rsid w:val="357201A0"/>
    <w:rsid w:val="35830EE1"/>
    <w:rsid w:val="35AE4747"/>
    <w:rsid w:val="35CF53EA"/>
    <w:rsid w:val="35D34EB8"/>
    <w:rsid w:val="35D43768"/>
    <w:rsid w:val="35E71299"/>
    <w:rsid w:val="35E72F09"/>
    <w:rsid w:val="35F26505"/>
    <w:rsid w:val="35FD0561"/>
    <w:rsid w:val="361A0DD1"/>
    <w:rsid w:val="363A75C1"/>
    <w:rsid w:val="364B7CB4"/>
    <w:rsid w:val="368E7AA5"/>
    <w:rsid w:val="36950F43"/>
    <w:rsid w:val="3696201C"/>
    <w:rsid w:val="369938DF"/>
    <w:rsid w:val="36B17531"/>
    <w:rsid w:val="36B46A81"/>
    <w:rsid w:val="36C223BE"/>
    <w:rsid w:val="36C257C0"/>
    <w:rsid w:val="36C62770"/>
    <w:rsid w:val="36CB0A48"/>
    <w:rsid w:val="36D44798"/>
    <w:rsid w:val="36ED1084"/>
    <w:rsid w:val="36EE6918"/>
    <w:rsid w:val="36F13745"/>
    <w:rsid w:val="36FF7CEB"/>
    <w:rsid w:val="370B1A19"/>
    <w:rsid w:val="371366D9"/>
    <w:rsid w:val="37185540"/>
    <w:rsid w:val="37194E97"/>
    <w:rsid w:val="371C32AC"/>
    <w:rsid w:val="371D6A40"/>
    <w:rsid w:val="37235D83"/>
    <w:rsid w:val="373934D6"/>
    <w:rsid w:val="373C1BA5"/>
    <w:rsid w:val="373D426B"/>
    <w:rsid w:val="374D082D"/>
    <w:rsid w:val="37836450"/>
    <w:rsid w:val="378E57E2"/>
    <w:rsid w:val="379452EB"/>
    <w:rsid w:val="379C6437"/>
    <w:rsid w:val="37A42BA6"/>
    <w:rsid w:val="37B67EF6"/>
    <w:rsid w:val="37BF2765"/>
    <w:rsid w:val="37C3034A"/>
    <w:rsid w:val="37C716ED"/>
    <w:rsid w:val="37CC5E94"/>
    <w:rsid w:val="37D664EB"/>
    <w:rsid w:val="38012801"/>
    <w:rsid w:val="380A2593"/>
    <w:rsid w:val="380F4764"/>
    <w:rsid w:val="380F6191"/>
    <w:rsid w:val="38166E46"/>
    <w:rsid w:val="381A0093"/>
    <w:rsid w:val="38317011"/>
    <w:rsid w:val="383266B3"/>
    <w:rsid w:val="3863271E"/>
    <w:rsid w:val="386C1CFB"/>
    <w:rsid w:val="38804766"/>
    <w:rsid w:val="388B6EBF"/>
    <w:rsid w:val="388C38C8"/>
    <w:rsid w:val="388E6306"/>
    <w:rsid w:val="3891144C"/>
    <w:rsid w:val="38A343C3"/>
    <w:rsid w:val="38C927B2"/>
    <w:rsid w:val="38CA0360"/>
    <w:rsid w:val="38CA762F"/>
    <w:rsid w:val="38D02CFA"/>
    <w:rsid w:val="38D676C9"/>
    <w:rsid w:val="38DA32F7"/>
    <w:rsid w:val="38DC63BC"/>
    <w:rsid w:val="38E40513"/>
    <w:rsid w:val="38E73213"/>
    <w:rsid w:val="38F217F7"/>
    <w:rsid w:val="38FA7B59"/>
    <w:rsid w:val="38FF405F"/>
    <w:rsid w:val="39001510"/>
    <w:rsid w:val="391A7C24"/>
    <w:rsid w:val="393853EE"/>
    <w:rsid w:val="393C349F"/>
    <w:rsid w:val="39414A49"/>
    <w:rsid w:val="39474FFC"/>
    <w:rsid w:val="39485EE8"/>
    <w:rsid w:val="39554EFB"/>
    <w:rsid w:val="397702FE"/>
    <w:rsid w:val="39A12E64"/>
    <w:rsid w:val="39A27CFB"/>
    <w:rsid w:val="39AC270E"/>
    <w:rsid w:val="39BC72AB"/>
    <w:rsid w:val="39BF0DA5"/>
    <w:rsid w:val="39D073F5"/>
    <w:rsid w:val="39E030FB"/>
    <w:rsid w:val="39E551C2"/>
    <w:rsid w:val="3A004EFB"/>
    <w:rsid w:val="3A1D668F"/>
    <w:rsid w:val="3A280D85"/>
    <w:rsid w:val="3A5C417E"/>
    <w:rsid w:val="3A651C7C"/>
    <w:rsid w:val="3A8C19A6"/>
    <w:rsid w:val="3A985F9F"/>
    <w:rsid w:val="3A9D79B4"/>
    <w:rsid w:val="3AA60A47"/>
    <w:rsid w:val="3ABD7DB0"/>
    <w:rsid w:val="3ABE7AAF"/>
    <w:rsid w:val="3AC24EB4"/>
    <w:rsid w:val="3AC60874"/>
    <w:rsid w:val="3AC906BD"/>
    <w:rsid w:val="3AC909EA"/>
    <w:rsid w:val="3ACA79CB"/>
    <w:rsid w:val="3ACD696C"/>
    <w:rsid w:val="3AE8148A"/>
    <w:rsid w:val="3AF15211"/>
    <w:rsid w:val="3AF80E99"/>
    <w:rsid w:val="3B0048B4"/>
    <w:rsid w:val="3B0C59EE"/>
    <w:rsid w:val="3B13533E"/>
    <w:rsid w:val="3B1D04C9"/>
    <w:rsid w:val="3B3F122D"/>
    <w:rsid w:val="3B564493"/>
    <w:rsid w:val="3B68666D"/>
    <w:rsid w:val="3B6E6574"/>
    <w:rsid w:val="3B7457AD"/>
    <w:rsid w:val="3B7B144D"/>
    <w:rsid w:val="3B7F12F6"/>
    <w:rsid w:val="3B8108BE"/>
    <w:rsid w:val="3B920EC0"/>
    <w:rsid w:val="3B924465"/>
    <w:rsid w:val="3B9C5361"/>
    <w:rsid w:val="3BA53541"/>
    <w:rsid w:val="3BA94452"/>
    <w:rsid w:val="3BFC0B7A"/>
    <w:rsid w:val="3C031B6A"/>
    <w:rsid w:val="3C1262DB"/>
    <w:rsid w:val="3C1A13D5"/>
    <w:rsid w:val="3C1F3CDD"/>
    <w:rsid w:val="3C3318F7"/>
    <w:rsid w:val="3C5A7C30"/>
    <w:rsid w:val="3C7A34E1"/>
    <w:rsid w:val="3C857E1F"/>
    <w:rsid w:val="3C8B2EA4"/>
    <w:rsid w:val="3C98267C"/>
    <w:rsid w:val="3C9A76B6"/>
    <w:rsid w:val="3C9E137D"/>
    <w:rsid w:val="3CA02F85"/>
    <w:rsid w:val="3CA30E32"/>
    <w:rsid w:val="3CAE115E"/>
    <w:rsid w:val="3CB6404C"/>
    <w:rsid w:val="3CC85F33"/>
    <w:rsid w:val="3CCB3008"/>
    <w:rsid w:val="3CEB1A05"/>
    <w:rsid w:val="3D004F11"/>
    <w:rsid w:val="3D005676"/>
    <w:rsid w:val="3D0970C8"/>
    <w:rsid w:val="3D166483"/>
    <w:rsid w:val="3D230EF3"/>
    <w:rsid w:val="3D42795C"/>
    <w:rsid w:val="3D5A19A0"/>
    <w:rsid w:val="3D5D4541"/>
    <w:rsid w:val="3D606F86"/>
    <w:rsid w:val="3D6F2596"/>
    <w:rsid w:val="3D753E3B"/>
    <w:rsid w:val="3D7961D3"/>
    <w:rsid w:val="3D7A7213"/>
    <w:rsid w:val="3D8F6A91"/>
    <w:rsid w:val="3DAD0C31"/>
    <w:rsid w:val="3DC16634"/>
    <w:rsid w:val="3DCB2FFC"/>
    <w:rsid w:val="3DCC4627"/>
    <w:rsid w:val="3DD00AF4"/>
    <w:rsid w:val="3DD16176"/>
    <w:rsid w:val="3DD7787E"/>
    <w:rsid w:val="3DE846F2"/>
    <w:rsid w:val="3DE87386"/>
    <w:rsid w:val="3DF50B5D"/>
    <w:rsid w:val="3DFB0640"/>
    <w:rsid w:val="3E0061CE"/>
    <w:rsid w:val="3E031075"/>
    <w:rsid w:val="3E1A5B77"/>
    <w:rsid w:val="3E3D115C"/>
    <w:rsid w:val="3E4E1DB0"/>
    <w:rsid w:val="3E5014B7"/>
    <w:rsid w:val="3E575439"/>
    <w:rsid w:val="3E7A1E1B"/>
    <w:rsid w:val="3E7E76A1"/>
    <w:rsid w:val="3E802A97"/>
    <w:rsid w:val="3E816ACA"/>
    <w:rsid w:val="3E85107A"/>
    <w:rsid w:val="3E970AC1"/>
    <w:rsid w:val="3EB25E64"/>
    <w:rsid w:val="3EB57E73"/>
    <w:rsid w:val="3EBA3F51"/>
    <w:rsid w:val="3ECE6FC8"/>
    <w:rsid w:val="3ED90D52"/>
    <w:rsid w:val="3EDA32C4"/>
    <w:rsid w:val="3EE75AFB"/>
    <w:rsid w:val="3EE84598"/>
    <w:rsid w:val="3EFA1463"/>
    <w:rsid w:val="3EFB0DA2"/>
    <w:rsid w:val="3F015166"/>
    <w:rsid w:val="3F0357C2"/>
    <w:rsid w:val="3F15663C"/>
    <w:rsid w:val="3F18630F"/>
    <w:rsid w:val="3F1F4A80"/>
    <w:rsid w:val="3F2D08FC"/>
    <w:rsid w:val="3F304187"/>
    <w:rsid w:val="3F4371E9"/>
    <w:rsid w:val="3F5A272F"/>
    <w:rsid w:val="3F5B25E2"/>
    <w:rsid w:val="3F6444BF"/>
    <w:rsid w:val="3F8208BE"/>
    <w:rsid w:val="3F833743"/>
    <w:rsid w:val="3F8413AF"/>
    <w:rsid w:val="3F896205"/>
    <w:rsid w:val="3F8D42EA"/>
    <w:rsid w:val="3F903DF4"/>
    <w:rsid w:val="3F94133E"/>
    <w:rsid w:val="3F9D1A3F"/>
    <w:rsid w:val="3FA22487"/>
    <w:rsid w:val="3FB16EF0"/>
    <w:rsid w:val="3FBE5D52"/>
    <w:rsid w:val="3FC64FBA"/>
    <w:rsid w:val="3FD2552F"/>
    <w:rsid w:val="3FEB354A"/>
    <w:rsid w:val="3FEC12D8"/>
    <w:rsid w:val="400021A9"/>
    <w:rsid w:val="40071F8E"/>
    <w:rsid w:val="40273EB3"/>
    <w:rsid w:val="402A0BEC"/>
    <w:rsid w:val="40385E0C"/>
    <w:rsid w:val="403917EB"/>
    <w:rsid w:val="404F7A6B"/>
    <w:rsid w:val="40592A16"/>
    <w:rsid w:val="406623B1"/>
    <w:rsid w:val="40674790"/>
    <w:rsid w:val="406B17E1"/>
    <w:rsid w:val="40705D5D"/>
    <w:rsid w:val="4081152E"/>
    <w:rsid w:val="408A1812"/>
    <w:rsid w:val="408B26C8"/>
    <w:rsid w:val="4093799E"/>
    <w:rsid w:val="40970524"/>
    <w:rsid w:val="40A30E28"/>
    <w:rsid w:val="40AB266E"/>
    <w:rsid w:val="40AC6375"/>
    <w:rsid w:val="40BB53F7"/>
    <w:rsid w:val="40C765F3"/>
    <w:rsid w:val="40CB1CD0"/>
    <w:rsid w:val="40D310E0"/>
    <w:rsid w:val="40E1213A"/>
    <w:rsid w:val="40E6301D"/>
    <w:rsid w:val="41071BAC"/>
    <w:rsid w:val="41104677"/>
    <w:rsid w:val="411D3E3F"/>
    <w:rsid w:val="411E7076"/>
    <w:rsid w:val="41256FB7"/>
    <w:rsid w:val="41343624"/>
    <w:rsid w:val="4136428A"/>
    <w:rsid w:val="4154071D"/>
    <w:rsid w:val="415A2A55"/>
    <w:rsid w:val="415E6D8D"/>
    <w:rsid w:val="41680B02"/>
    <w:rsid w:val="41920E65"/>
    <w:rsid w:val="419C5A30"/>
    <w:rsid w:val="419D110A"/>
    <w:rsid w:val="41AA6F9D"/>
    <w:rsid w:val="41CD1A27"/>
    <w:rsid w:val="41CF3183"/>
    <w:rsid w:val="41D85155"/>
    <w:rsid w:val="41DC1619"/>
    <w:rsid w:val="41E75166"/>
    <w:rsid w:val="41ED54BF"/>
    <w:rsid w:val="41F149C4"/>
    <w:rsid w:val="41FA7589"/>
    <w:rsid w:val="42153CB9"/>
    <w:rsid w:val="42160297"/>
    <w:rsid w:val="42173DAF"/>
    <w:rsid w:val="422C5034"/>
    <w:rsid w:val="422F559A"/>
    <w:rsid w:val="424878B4"/>
    <w:rsid w:val="42706590"/>
    <w:rsid w:val="427425EE"/>
    <w:rsid w:val="428F581C"/>
    <w:rsid w:val="4298064E"/>
    <w:rsid w:val="4299467D"/>
    <w:rsid w:val="429D346C"/>
    <w:rsid w:val="429E77EF"/>
    <w:rsid w:val="42A0076D"/>
    <w:rsid w:val="42AC5A74"/>
    <w:rsid w:val="42AD71C2"/>
    <w:rsid w:val="42AE14DC"/>
    <w:rsid w:val="42B540EF"/>
    <w:rsid w:val="42BA57D6"/>
    <w:rsid w:val="42BC003D"/>
    <w:rsid w:val="42C25CC7"/>
    <w:rsid w:val="42C843A0"/>
    <w:rsid w:val="42F20CDD"/>
    <w:rsid w:val="42F93C76"/>
    <w:rsid w:val="430831F4"/>
    <w:rsid w:val="43090B64"/>
    <w:rsid w:val="432E7531"/>
    <w:rsid w:val="43361880"/>
    <w:rsid w:val="434941B7"/>
    <w:rsid w:val="436551FA"/>
    <w:rsid w:val="43776349"/>
    <w:rsid w:val="43A46A86"/>
    <w:rsid w:val="43BA21AA"/>
    <w:rsid w:val="43BD281F"/>
    <w:rsid w:val="43CA6F51"/>
    <w:rsid w:val="43D73E5B"/>
    <w:rsid w:val="43E1610D"/>
    <w:rsid w:val="43E80BE6"/>
    <w:rsid w:val="43EE5166"/>
    <w:rsid w:val="43F57DBA"/>
    <w:rsid w:val="44067BEC"/>
    <w:rsid w:val="440A2EF6"/>
    <w:rsid w:val="44215206"/>
    <w:rsid w:val="442C702D"/>
    <w:rsid w:val="4431006B"/>
    <w:rsid w:val="44326FB5"/>
    <w:rsid w:val="443E1A69"/>
    <w:rsid w:val="445D7409"/>
    <w:rsid w:val="44707017"/>
    <w:rsid w:val="4474621B"/>
    <w:rsid w:val="44765C62"/>
    <w:rsid w:val="44813B55"/>
    <w:rsid w:val="448F2F2D"/>
    <w:rsid w:val="44995C31"/>
    <w:rsid w:val="44AC3C12"/>
    <w:rsid w:val="44B2766E"/>
    <w:rsid w:val="44C82F04"/>
    <w:rsid w:val="44CC2B6C"/>
    <w:rsid w:val="44E51801"/>
    <w:rsid w:val="44ED06E5"/>
    <w:rsid w:val="44F315BC"/>
    <w:rsid w:val="44F36316"/>
    <w:rsid w:val="451039AB"/>
    <w:rsid w:val="45193263"/>
    <w:rsid w:val="452A29EE"/>
    <w:rsid w:val="452E357E"/>
    <w:rsid w:val="45336C24"/>
    <w:rsid w:val="45354401"/>
    <w:rsid w:val="453D01E5"/>
    <w:rsid w:val="45493373"/>
    <w:rsid w:val="454A0FCA"/>
    <w:rsid w:val="454A4868"/>
    <w:rsid w:val="4552690C"/>
    <w:rsid w:val="45605650"/>
    <w:rsid w:val="45727F0B"/>
    <w:rsid w:val="45811728"/>
    <w:rsid w:val="45834801"/>
    <w:rsid w:val="458B617D"/>
    <w:rsid w:val="458D0B6B"/>
    <w:rsid w:val="458F4D24"/>
    <w:rsid w:val="459C5BD8"/>
    <w:rsid w:val="45A36544"/>
    <w:rsid w:val="45A91BE1"/>
    <w:rsid w:val="45AA59A9"/>
    <w:rsid w:val="45B01F58"/>
    <w:rsid w:val="45B20B88"/>
    <w:rsid w:val="45B5636D"/>
    <w:rsid w:val="45C12874"/>
    <w:rsid w:val="45D35459"/>
    <w:rsid w:val="45D46A79"/>
    <w:rsid w:val="45DB4490"/>
    <w:rsid w:val="45E702BD"/>
    <w:rsid w:val="45E86B72"/>
    <w:rsid w:val="45ED56E7"/>
    <w:rsid w:val="45F60A50"/>
    <w:rsid w:val="46036BC7"/>
    <w:rsid w:val="461C511A"/>
    <w:rsid w:val="462778C6"/>
    <w:rsid w:val="46462F04"/>
    <w:rsid w:val="46545EC0"/>
    <w:rsid w:val="46554BE7"/>
    <w:rsid w:val="465B1E86"/>
    <w:rsid w:val="465E648A"/>
    <w:rsid w:val="46604D97"/>
    <w:rsid w:val="467847A0"/>
    <w:rsid w:val="4697740A"/>
    <w:rsid w:val="46C6208F"/>
    <w:rsid w:val="46DA12C7"/>
    <w:rsid w:val="46EF544C"/>
    <w:rsid w:val="46F714E0"/>
    <w:rsid w:val="46F91A62"/>
    <w:rsid w:val="471C6A14"/>
    <w:rsid w:val="473010D7"/>
    <w:rsid w:val="4732695E"/>
    <w:rsid w:val="47334610"/>
    <w:rsid w:val="4753781A"/>
    <w:rsid w:val="47650157"/>
    <w:rsid w:val="47927375"/>
    <w:rsid w:val="47971FDC"/>
    <w:rsid w:val="479D1728"/>
    <w:rsid w:val="47A928F1"/>
    <w:rsid w:val="47C806EC"/>
    <w:rsid w:val="47F0637D"/>
    <w:rsid w:val="47F40E9D"/>
    <w:rsid w:val="48125136"/>
    <w:rsid w:val="481C0CDA"/>
    <w:rsid w:val="481C6030"/>
    <w:rsid w:val="48252F6B"/>
    <w:rsid w:val="482C6CD1"/>
    <w:rsid w:val="48533116"/>
    <w:rsid w:val="4853345A"/>
    <w:rsid w:val="48622F87"/>
    <w:rsid w:val="48782922"/>
    <w:rsid w:val="48845C84"/>
    <w:rsid w:val="48914098"/>
    <w:rsid w:val="48973F32"/>
    <w:rsid w:val="489C44D3"/>
    <w:rsid w:val="489F483A"/>
    <w:rsid w:val="48C82BE2"/>
    <w:rsid w:val="48CB642A"/>
    <w:rsid w:val="48CE17E0"/>
    <w:rsid w:val="48F82FC3"/>
    <w:rsid w:val="49095F7E"/>
    <w:rsid w:val="490D059B"/>
    <w:rsid w:val="490D3059"/>
    <w:rsid w:val="491C2233"/>
    <w:rsid w:val="492F6EA2"/>
    <w:rsid w:val="49317DE6"/>
    <w:rsid w:val="494A394A"/>
    <w:rsid w:val="494C1910"/>
    <w:rsid w:val="49500FEB"/>
    <w:rsid w:val="49751781"/>
    <w:rsid w:val="4976679A"/>
    <w:rsid w:val="4982678C"/>
    <w:rsid w:val="49982D33"/>
    <w:rsid w:val="49C37520"/>
    <w:rsid w:val="49C4340C"/>
    <w:rsid w:val="49C4368E"/>
    <w:rsid w:val="49C46503"/>
    <w:rsid w:val="49DD7EFB"/>
    <w:rsid w:val="49E077A2"/>
    <w:rsid w:val="49F32E1B"/>
    <w:rsid w:val="49F36AE3"/>
    <w:rsid w:val="49FF1C1E"/>
    <w:rsid w:val="4A0B7057"/>
    <w:rsid w:val="4A1D619F"/>
    <w:rsid w:val="4A280667"/>
    <w:rsid w:val="4A325FE0"/>
    <w:rsid w:val="4A3845D4"/>
    <w:rsid w:val="4A495F41"/>
    <w:rsid w:val="4A511B6E"/>
    <w:rsid w:val="4A734F9B"/>
    <w:rsid w:val="4A7C4548"/>
    <w:rsid w:val="4A863BCC"/>
    <w:rsid w:val="4A8E1463"/>
    <w:rsid w:val="4AB043A7"/>
    <w:rsid w:val="4AB47560"/>
    <w:rsid w:val="4AC15779"/>
    <w:rsid w:val="4AD202C9"/>
    <w:rsid w:val="4ADE2C90"/>
    <w:rsid w:val="4AEE473A"/>
    <w:rsid w:val="4AF03277"/>
    <w:rsid w:val="4B2A6621"/>
    <w:rsid w:val="4B3D6072"/>
    <w:rsid w:val="4B3F449C"/>
    <w:rsid w:val="4B5B5B93"/>
    <w:rsid w:val="4B7606DB"/>
    <w:rsid w:val="4B7F2D98"/>
    <w:rsid w:val="4B850E6F"/>
    <w:rsid w:val="4B8A44B3"/>
    <w:rsid w:val="4B901389"/>
    <w:rsid w:val="4B967C92"/>
    <w:rsid w:val="4B986207"/>
    <w:rsid w:val="4B987896"/>
    <w:rsid w:val="4B9969CA"/>
    <w:rsid w:val="4BA04F33"/>
    <w:rsid w:val="4BC05ECF"/>
    <w:rsid w:val="4BD05051"/>
    <w:rsid w:val="4BF66867"/>
    <w:rsid w:val="4BFE2AE1"/>
    <w:rsid w:val="4C054590"/>
    <w:rsid w:val="4C0C6994"/>
    <w:rsid w:val="4C292792"/>
    <w:rsid w:val="4C2C30BE"/>
    <w:rsid w:val="4C2C46A1"/>
    <w:rsid w:val="4C3A2A9D"/>
    <w:rsid w:val="4C5A4EBB"/>
    <w:rsid w:val="4C5D2EB7"/>
    <w:rsid w:val="4C662364"/>
    <w:rsid w:val="4C6B32F7"/>
    <w:rsid w:val="4C6C5AF1"/>
    <w:rsid w:val="4C7C3579"/>
    <w:rsid w:val="4C8A164A"/>
    <w:rsid w:val="4C8B5DCD"/>
    <w:rsid w:val="4C8D7B0E"/>
    <w:rsid w:val="4C984AEE"/>
    <w:rsid w:val="4CB629EB"/>
    <w:rsid w:val="4CBD15B4"/>
    <w:rsid w:val="4CBF03D6"/>
    <w:rsid w:val="4CFE4516"/>
    <w:rsid w:val="4CFF6DF1"/>
    <w:rsid w:val="4D014AEF"/>
    <w:rsid w:val="4D105B68"/>
    <w:rsid w:val="4D116A8B"/>
    <w:rsid w:val="4D1E3273"/>
    <w:rsid w:val="4D2204B2"/>
    <w:rsid w:val="4D513299"/>
    <w:rsid w:val="4D680CE9"/>
    <w:rsid w:val="4D76634A"/>
    <w:rsid w:val="4D800373"/>
    <w:rsid w:val="4D8D2AE5"/>
    <w:rsid w:val="4D9D5F78"/>
    <w:rsid w:val="4D9E74D1"/>
    <w:rsid w:val="4DA22392"/>
    <w:rsid w:val="4DBC2EE2"/>
    <w:rsid w:val="4DBE5704"/>
    <w:rsid w:val="4DEC4B69"/>
    <w:rsid w:val="4DF96CBC"/>
    <w:rsid w:val="4E0B6779"/>
    <w:rsid w:val="4E0F493A"/>
    <w:rsid w:val="4E171ADD"/>
    <w:rsid w:val="4E3A3C9A"/>
    <w:rsid w:val="4E4C233E"/>
    <w:rsid w:val="4E6467C3"/>
    <w:rsid w:val="4E670F11"/>
    <w:rsid w:val="4E845F98"/>
    <w:rsid w:val="4E98737F"/>
    <w:rsid w:val="4E9A7FF9"/>
    <w:rsid w:val="4EA16E8D"/>
    <w:rsid w:val="4EAA36E5"/>
    <w:rsid w:val="4EB3411C"/>
    <w:rsid w:val="4EB7180D"/>
    <w:rsid w:val="4EB77C34"/>
    <w:rsid w:val="4EBA101A"/>
    <w:rsid w:val="4ECB423B"/>
    <w:rsid w:val="4ECE0D1D"/>
    <w:rsid w:val="4ED26F97"/>
    <w:rsid w:val="4EDA7726"/>
    <w:rsid w:val="4EDF702E"/>
    <w:rsid w:val="4EE151F5"/>
    <w:rsid w:val="4EEF0A82"/>
    <w:rsid w:val="4EF148C1"/>
    <w:rsid w:val="4EFE1926"/>
    <w:rsid w:val="4F020CCB"/>
    <w:rsid w:val="4F047884"/>
    <w:rsid w:val="4F0B4D90"/>
    <w:rsid w:val="4F186AC1"/>
    <w:rsid w:val="4F1E2479"/>
    <w:rsid w:val="4F670186"/>
    <w:rsid w:val="4F696084"/>
    <w:rsid w:val="4F6E77B9"/>
    <w:rsid w:val="4F7932B9"/>
    <w:rsid w:val="4F79613F"/>
    <w:rsid w:val="4F7A3958"/>
    <w:rsid w:val="4F813AF7"/>
    <w:rsid w:val="4F823122"/>
    <w:rsid w:val="4F865BE9"/>
    <w:rsid w:val="4FA1011C"/>
    <w:rsid w:val="4FA5289F"/>
    <w:rsid w:val="4FA85E0B"/>
    <w:rsid w:val="4FB13BE4"/>
    <w:rsid w:val="4FBD6EC5"/>
    <w:rsid w:val="4FBF1AB2"/>
    <w:rsid w:val="4FC02A9C"/>
    <w:rsid w:val="4FD419FE"/>
    <w:rsid w:val="4FD74E40"/>
    <w:rsid w:val="4FE42B9D"/>
    <w:rsid w:val="4FE42D47"/>
    <w:rsid w:val="4FEE175C"/>
    <w:rsid w:val="4FEF4F4B"/>
    <w:rsid w:val="50044053"/>
    <w:rsid w:val="500E557E"/>
    <w:rsid w:val="50150A2D"/>
    <w:rsid w:val="50200100"/>
    <w:rsid w:val="50273D9F"/>
    <w:rsid w:val="503415A0"/>
    <w:rsid w:val="503B15B6"/>
    <w:rsid w:val="50413B4E"/>
    <w:rsid w:val="504A5F6D"/>
    <w:rsid w:val="504B661D"/>
    <w:rsid w:val="504D266B"/>
    <w:rsid w:val="504E5AC6"/>
    <w:rsid w:val="505076EF"/>
    <w:rsid w:val="505D5B88"/>
    <w:rsid w:val="505F3BD5"/>
    <w:rsid w:val="50712488"/>
    <w:rsid w:val="50757347"/>
    <w:rsid w:val="507820B7"/>
    <w:rsid w:val="508A0B34"/>
    <w:rsid w:val="50933052"/>
    <w:rsid w:val="509A0302"/>
    <w:rsid w:val="509B767D"/>
    <w:rsid w:val="50BE437A"/>
    <w:rsid w:val="50BE750E"/>
    <w:rsid w:val="50C953D1"/>
    <w:rsid w:val="50E042AF"/>
    <w:rsid w:val="50E77A58"/>
    <w:rsid w:val="511836CB"/>
    <w:rsid w:val="51394C04"/>
    <w:rsid w:val="513C5648"/>
    <w:rsid w:val="515143AB"/>
    <w:rsid w:val="515A17DC"/>
    <w:rsid w:val="51685DFA"/>
    <w:rsid w:val="51705953"/>
    <w:rsid w:val="51725D98"/>
    <w:rsid w:val="51736098"/>
    <w:rsid w:val="517B7B1C"/>
    <w:rsid w:val="51875C25"/>
    <w:rsid w:val="518C69D5"/>
    <w:rsid w:val="51B14BED"/>
    <w:rsid w:val="51C67F2E"/>
    <w:rsid w:val="51C71898"/>
    <w:rsid w:val="51D5571B"/>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963B66"/>
    <w:rsid w:val="52A07902"/>
    <w:rsid w:val="52C13181"/>
    <w:rsid w:val="52CC3296"/>
    <w:rsid w:val="52D71166"/>
    <w:rsid w:val="52E026D3"/>
    <w:rsid w:val="52E60C81"/>
    <w:rsid w:val="52E963EC"/>
    <w:rsid w:val="52FF3969"/>
    <w:rsid w:val="53050CF9"/>
    <w:rsid w:val="531E2281"/>
    <w:rsid w:val="53793823"/>
    <w:rsid w:val="537B7A51"/>
    <w:rsid w:val="53851D77"/>
    <w:rsid w:val="53906F76"/>
    <w:rsid w:val="539874D1"/>
    <w:rsid w:val="53A900B3"/>
    <w:rsid w:val="53BE4BF9"/>
    <w:rsid w:val="53D37BF3"/>
    <w:rsid w:val="53D43A38"/>
    <w:rsid w:val="53D65728"/>
    <w:rsid w:val="53DB0569"/>
    <w:rsid w:val="53F06CFA"/>
    <w:rsid w:val="53FE42EB"/>
    <w:rsid w:val="53FF3ABE"/>
    <w:rsid w:val="54175BE1"/>
    <w:rsid w:val="54192F65"/>
    <w:rsid w:val="5445166E"/>
    <w:rsid w:val="54632332"/>
    <w:rsid w:val="546A5504"/>
    <w:rsid w:val="546F0D2A"/>
    <w:rsid w:val="547236DF"/>
    <w:rsid w:val="547B4986"/>
    <w:rsid w:val="54944CE7"/>
    <w:rsid w:val="549555A5"/>
    <w:rsid w:val="54AB289F"/>
    <w:rsid w:val="54D62DF7"/>
    <w:rsid w:val="54E95C39"/>
    <w:rsid w:val="54F54ADE"/>
    <w:rsid w:val="54FC00A7"/>
    <w:rsid w:val="551B4BD7"/>
    <w:rsid w:val="552A54CB"/>
    <w:rsid w:val="553426D6"/>
    <w:rsid w:val="55436523"/>
    <w:rsid w:val="554575FA"/>
    <w:rsid w:val="55496DF8"/>
    <w:rsid w:val="554E1565"/>
    <w:rsid w:val="555125B1"/>
    <w:rsid w:val="55545557"/>
    <w:rsid w:val="556A455B"/>
    <w:rsid w:val="55852483"/>
    <w:rsid w:val="55AD541E"/>
    <w:rsid w:val="55B027EB"/>
    <w:rsid w:val="55BC338C"/>
    <w:rsid w:val="55C232F1"/>
    <w:rsid w:val="55CA20E9"/>
    <w:rsid w:val="55E54A78"/>
    <w:rsid w:val="55ED23C7"/>
    <w:rsid w:val="55F911F4"/>
    <w:rsid w:val="55FC080B"/>
    <w:rsid w:val="560C0036"/>
    <w:rsid w:val="56106B23"/>
    <w:rsid w:val="561D279B"/>
    <w:rsid w:val="563064F8"/>
    <w:rsid w:val="563279D7"/>
    <w:rsid w:val="563B5487"/>
    <w:rsid w:val="563B762E"/>
    <w:rsid w:val="563C5184"/>
    <w:rsid w:val="565207DC"/>
    <w:rsid w:val="565631F5"/>
    <w:rsid w:val="566B26ED"/>
    <w:rsid w:val="566D297A"/>
    <w:rsid w:val="567C046F"/>
    <w:rsid w:val="568E12A1"/>
    <w:rsid w:val="56915A65"/>
    <w:rsid w:val="56A63821"/>
    <w:rsid w:val="56AA0A07"/>
    <w:rsid w:val="56AA6DC0"/>
    <w:rsid w:val="56C44CD3"/>
    <w:rsid w:val="56D75436"/>
    <w:rsid w:val="56DB045D"/>
    <w:rsid w:val="56E17FE8"/>
    <w:rsid w:val="56E83A21"/>
    <w:rsid w:val="57213FE5"/>
    <w:rsid w:val="575426FE"/>
    <w:rsid w:val="575F25E8"/>
    <w:rsid w:val="578177D3"/>
    <w:rsid w:val="5795421A"/>
    <w:rsid w:val="57AA7E41"/>
    <w:rsid w:val="57AC0C0D"/>
    <w:rsid w:val="57BC04B5"/>
    <w:rsid w:val="57C166D8"/>
    <w:rsid w:val="57D82681"/>
    <w:rsid w:val="57DE7DC1"/>
    <w:rsid w:val="57E3333D"/>
    <w:rsid w:val="57E76382"/>
    <w:rsid w:val="57E879C4"/>
    <w:rsid w:val="57EF0F97"/>
    <w:rsid w:val="57F17A1A"/>
    <w:rsid w:val="58175C49"/>
    <w:rsid w:val="581B09AF"/>
    <w:rsid w:val="582736FC"/>
    <w:rsid w:val="582E227B"/>
    <w:rsid w:val="583C79A9"/>
    <w:rsid w:val="583D0933"/>
    <w:rsid w:val="584677BD"/>
    <w:rsid w:val="585D5B14"/>
    <w:rsid w:val="58677C2C"/>
    <w:rsid w:val="5872028B"/>
    <w:rsid w:val="588459A1"/>
    <w:rsid w:val="588F2A57"/>
    <w:rsid w:val="58983966"/>
    <w:rsid w:val="589D3385"/>
    <w:rsid w:val="589E3B99"/>
    <w:rsid w:val="589F3533"/>
    <w:rsid w:val="58AC162C"/>
    <w:rsid w:val="58CA78F9"/>
    <w:rsid w:val="58D46D1B"/>
    <w:rsid w:val="58EB54CA"/>
    <w:rsid w:val="58F5414C"/>
    <w:rsid w:val="58F5528E"/>
    <w:rsid w:val="58FF6291"/>
    <w:rsid w:val="590B15D2"/>
    <w:rsid w:val="59143609"/>
    <w:rsid w:val="592C48F9"/>
    <w:rsid w:val="593261D2"/>
    <w:rsid w:val="59423730"/>
    <w:rsid w:val="5944467A"/>
    <w:rsid w:val="5949397D"/>
    <w:rsid w:val="59506815"/>
    <w:rsid w:val="59517F98"/>
    <w:rsid w:val="59586CE1"/>
    <w:rsid w:val="595A6E9E"/>
    <w:rsid w:val="596F2E06"/>
    <w:rsid w:val="597E00DF"/>
    <w:rsid w:val="5980128D"/>
    <w:rsid w:val="59822219"/>
    <w:rsid w:val="59B15318"/>
    <w:rsid w:val="59C61854"/>
    <w:rsid w:val="59E81791"/>
    <w:rsid w:val="59FB6BE2"/>
    <w:rsid w:val="5A06033D"/>
    <w:rsid w:val="5A0E79AC"/>
    <w:rsid w:val="5A0F0265"/>
    <w:rsid w:val="5A123B05"/>
    <w:rsid w:val="5A142254"/>
    <w:rsid w:val="5A1C2A23"/>
    <w:rsid w:val="5A496BD5"/>
    <w:rsid w:val="5A4B2EA3"/>
    <w:rsid w:val="5A6934B1"/>
    <w:rsid w:val="5A8D4FC0"/>
    <w:rsid w:val="5A8F1C82"/>
    <w:rsid w:val="5AA04D8D"/>
    <w:rsid w:val="5AA333BB"/>
    <w:rsid w:val="5AB53D99"/>
    <w:rsid w:val="5ABD694F"/>
    <w:rsid w:val="5AC4773A"/>
    <w:rsid w:val="5ACF620B"/>
    <w:rsid w:val="5AD85D6C"/>
    <w:rsid w:val="5AE85D18"/>
    <w:rsid w:val="5AFF5DE6"/>
    <w:rsid w:val="5B111BFC"/>
    <w:rsid w:val="5B1D47A6"/>
    <w:rsid w:val="5B1E6976"/>
    <w:rsid w:val="5B230D86"/>
    <w:rsid w:val="5B2F4CAA"/>
    <w:rsid w:val="5B4026E8"/>
    <w:rsid w:val="5B4516CD"/>
    <w:rsid w:val="5B482E24"/>
    <w:rsid w:val="5B575F0B"/>
    <w:rsid w:val="5B5A4228"/>
    <w:rsid w:val="5B650880"/>
    <w:rsid w:val="5B686AC1"/>
    <w:rsid w:val="5B853A54"/>
    <w:rsid w:val="5B8B1199"/>
    <w:rsid w:val="5B9D08DB"/>
    <w:rsid w:val="5BAD5A86"/>
    <w:rsid w:val="5BCD41C3"/>
    <w:rsid w:val="5BD429A6"/>
    <w:rsid w:val="5BE87AF6"/>
    <w:rsid w:val="5C0025C0"/>
    <w:rsid w:val="5C0138F0"/>
    <w:rsid w:val="5C180007"/>
    <w:rsid w:val="5C2B06C5"/>
    <w:rsid w:val="5C64023D"/>
    <w:rsid w:val="5C6D1CB7"/>
    <w:rsid w:val="5C731C61"/>
    <w:rsid w:val="5C7625DE"/>
    <w:rsid w:val="5C7C5FA3"/>
    <w:rsid w:val="5C8005B3"/>
    <w:rsid w:val="5C9050DF"/>
    <w:rsid w:val="5C9A4DB7"/>
    <w:rsid w:val="5CA00536"/>
    <w:rsid w:val="5CC016AB"/>
    <w:rsid w:val="5CC453C1"/>
    <w:rsid w:val="5CE07B6A"/>
    <w:rsid w:val="5CE61EE8"/>
    <w:rsid w:val="5D0728CF"/>
    <w:rsid w:val="5D1A01CE"/>
    <w:rsid w:val="5D1A39EE"/>
    <w:rsid w:val="5D280F3C"/>
    <w:rsid w:val="5D411FCB"/>
    <w:rsid w:val="5D460803"/>
    <w:rsid w:val="5D475E27"/>
    <w:rsid w:val="5D494B70"/>
    <w:rsid w:val="5D5C7688"/>
    <w:rsid w:val="5D6115AF"/>
    <w:rsid w:val="5D615C0F"/>
    <w:rsid w:val="5D762C66"/>
    <w:rsid w:val="5D7E07CE"/>
    <w:rsid w:val="5D844DB8"/>
    <w:rsid w:val="5D865E73"/>
    <w:rsid w:val="5D9F7EE8"/>
    <w:rsid w:val="5DA93319"/>
    <w:rsid w:val="5DB079D9"/>
    <w:rsid w:val="5DB156E1"/>
    <w:rsid w:val="5DCA052E"/>
    <w:rsid w:val="5DD65619"/>
    <w:rsid w:val="5DEF6B62"/>
    <w:rsid w:val="5DF47982"/>
    <w:rsid w:val="5E002949"/>
    <w:rsid w:val="5E0C5358"/>
    <w:rsid w:val="5E224225"/>
    <w:rsid w:val="5E2732CD"/>
    <w:rsid w:val="5E284D50"/>
    <w:rsid w:val="5E294B38"/>
    <w:rsid w:val="5E336F39"/>
    <w:rsid w:val="5E3723C6"/>
    <w:rsid w:val="5E501252"/>
    <w:rsid w:val="5E6D545A"/>
    <w:rsid w:val="5E723BE9"/>
    <w:rsid w:val="5E7464E9"/>
    <w:rsid w:val="5E7E4092"/>
    <w:rsid w:val="5E8E6492"/>
    <w:rsid w:val="5E923ECD"/>
    <w:rsid w:val="5E9A72CE"/>
    <w:rsid w:val="5EC00B79"/>
    <w:rsid w:val="5ED871EF"/>
    <w:rsid w:val="5EF5653C"/>
    <w:rsid w:val="5EFF2762"/>
    <w:rsid w:val="5F045F3A"/>
    <w:rsid w:val="5F0D642C"/>
    <w:rsid w:val="5F17008D"/>
    <w:rsid w:val="5F1A7A93"/>
    <w:rsid w:val="5F1C3DD8"/>
    <w:rsid w:val="5F3C716D"/>
    <w:rsid w:val="5F467922"/>
    <w:rsid w:val="5F4D6FE9"/>
    <w:rsid w:val="5F4F4D0F"/>
    <w:rsid w:val="5F5B59FB"/>
    <w:rsid w:val="5F5F081B"/>
    <w:rsid w:val="5F704D56"/>
    <w:rsid w:val="5F777336"/>
    <w:rsid w:val="5F862DF9"/>
    <w:rsid w:val="5FA257C6"/>
    <w:rsid w:val="5FB47FA0"/>
    <w:rsid w:val="5FB57D4D"/>
    <w:rsid w:val="5FC6541D"/>
    <w:rsid w:val="5FCD3868"/>
    <w:rsid w:val="5FEE3BAD"/>
    <w:rsid w:val="5FF20BF7"/>
    <w:rsid w:val="5FF450F9"/>
    <w:rsid w:val="60074C29"/>
    <w:rsid w:val="60085D9F"/>
    <w:rsid w:val="601E7125"/>
    <w:rsid w:val="60205F90"/>
    <w:rsid w:val="60217FCF"/>
    <w:rsid w:val="60252D16"/>
    <w:rsid w:val="603F6E4B"/>
    <w:rsid w:val="604D1512"/>
    <w:rsid w:val="60512BA9"/>
    <w:rsid w:val="60595131"/>
    <w:rsid w:val="6061371C"/>
    <w:rsid w:val="606D2E98"/>
    <w:rsid w:val="607A2D9D"/>
    <w:rsid w:val="608E2F6C"/>
    <w:rsid w:val="60BF382B"/>
    <w:rsid w:val="60C75F81"/>
    <w:rsid w:val="60C816A5"/>
    <w:rsid w:val="60CC3DDB"/>
    <w:rsid w:val="60DC4E84"/>
    <w:rsid w:val="60EC3C37"/>
    <w:rsid w:val="60F71F40"/>
    <w:rsid w:val="60FB2835"/>
    <w:rsid w:val="61247218"/>
    <w:rsid w:val="612B107A"/>
    <w:rsid w:val="613D07C4"/>
    <w:rsid w:val="615C0F34"/>
    <w:rsid w:val="615C14A6"/>
    <w:rsid w:val="615F6AC2"/>
    <w:rsid w:val="61672ABF"/>
    <w:rsid w:val="617A5318"/>
    <w:rsid w:val="617C1D66"/>
    <w:rsid w:val="618B3212"/>
    <w:rsid w:val="61A058F7"/>
    <w:rsid w:val="61A93693"/>
    <w:rsid w:val="61B66917"/>
    <w:rsid w:val="61BC3B1A"/>
    <w:rsid w:val="61CD4121"/>
    <w:rsid w:val="61DA7B1F"/>
    <w:rsid w:val="61E107FF"/>
    <w:rsid w:val="61F2159D"/>
    <w:rsid w:val="61F4098A"/>
    <w:rsid w:val="62082A4E"/>
    <w:rsid w:val="6232252A"/>
    <w:rsid w:val="6239245F"/>
    <w:rsid w:val="623C28E2"/>
    <w:rsid w:val="623F05F8"/>
    <w:rsid w:val="626D6E03"/>
    <w:rsid w:val="627516A4"/>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7085D"/>
    <w:rsid w:val="636A45E1"/>
    <w:rsid w:val="637543E9"/>
    <w:rsid w:val="637947A5"/>
    <w:rsid w:val="638E6D4D"/>
    <w:rsid w:val="63A32F36"/>
    <w:rsid w:val="63B37E95"/>
    <w:rsid w:val="63BD4B8F"/>
    <w:rsid w:val="63C82D94"/>
    <w:rsid w:val="63D0005D"/>
    <w:rsid w:val="63D15554"/>
    <w:rsid w:val="63D81C8F"/>
    <w:rsid w:val="63DE5D65"/>
    <w:rsid w:val="63DF6605"/>
    <w:rsid w:val="63E23D45"/>
    <w:rsid w:val="63F95413"/>
    <w:rsid w:val="63FB6E03"/>
    <w:rsid w:val="64337DBE"/>
    <w:rsid w:val="643F6D4B"/>
    <w:rsid w:val="64456269"/>
    <w:rsid w:val="64467B93"/>
    <w:rsid w:val="64511EDE"/>
    <w:rsid w:val="64630D1E"/>
    <w:rsid w:val="6478176D"/>
    <w:rsid w:val="64835CDD"/>
    <w:rsid w:val="6486251A"/>
    <w:rsid w:val="64AB2A66"/>
    <w:rsid w:val="64B7605C"/>
    <w:rsid w:val="64BD6580"/>
    <w:rsid w:val="64DA5521"/>
    <w:rsid w:val="64E205AE"/>
    <w:rsid w:val="64E93EF1"/>
    <w:rsid w:val="64F17473"/>
    <w:rsid w:val="650D3C56"/>
    <w:rsid w:val="652564C3"/>
    <w:rsid w:val="652B096E"/>
    <w:rsid w:val="65326763"/>
    <w:rsid w:val="65357589"/>
    <w:rsid w:val="65514FB8"/>
    <w:rsid w:val="65530E49"/>
    <w:rsid w:val="65551112"/>
    <w:rsid w:val="656A3FF0"/>
    <w:rsid w:val="65834C72"/>
    <w:rsid w:val="658573D0"/>
    <w:rsid w:val="658B678B"/>
    <w:rsid w:val="6590086E"/>
    <w:rsid w:val="659858FF"/>
    <w:rsid w:val="65A71F82"/>
    <w:rsid w:val="65C649BC"/>
    <w:rsid w:val="65D249C8"/>
    <w:rsid w:val="65D80985"/>
    <w:rsid w:val="65E55EB8"/>
    <w:rsid w:val="65E73B66"/>
    <w:rsid w:val="66022F90"/>
    <w:rsid w:val="66044FCB"/>
    <w:rsid w:val="66131984"/>
    <w:rsid w:val="66187135"/>
    <w:rsid w:val="662831A9"/>
    <w:rsid w:val="662C4F94"/>
    <w:rsid w:val="66313D38"/>
    <w:rsid w:val="664A22D3"/>
    <w:rsid w:val="665C0518"/>
    <w:rsid w:val="66787D6F"/>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A4A9C"/>
    <w:rsid w:val="671B4A83"/>
    <w:rsid w:val="67365593"/>
    <w:rsid w:val="67427945"/>
    <w:rsid w:val="674A4D32"/>
    <w:rsid w:val="675E2E45"/>
    <w:rsid w:val="676811E7"/>
    <w:rsid w:val="678164D2"/>
    <w:rsid w:val="67880ECE"/>
    <w:rsid w:val="67903975"/>
    <w:rsid w:val="679F6750"/>
    <w:rsid w:val="67AF4AEE"/>
    <w:rsid w:val="67BC006F"/>
    <w:rsid w:val="67BE34F4"/>
    <w:rsid w:val="67CF00A6"/>
    <w:rsid w:val="67D079BF"/>
    <w:rsid w:val="67D7321C"/>
    <w:rsid w:val="67DA02E7"/>
    <w:rsid w:val="67E04310"/>
    <w:rsid w:val="67E25FA2"/>
    <w:rsid w:val="67F21DDC"/>
    <w:rsid w:val="67F96D07"/>
    <w:rsid w:val="67FB2BA9"/>
    <w:rsid w:val="680872C5"/>
    <w:rsid w:val="68121D83"/>
    <w:rsid w:val="68233C28"/>
    <w:rsid w:val="682B16F7"/>
    <w:rsid w:val="682D47C1"/>
    <w:rsid w:val="683744CE"/>
    <w:rsid w:val="68522E10"/>
    <w:rsid w:val="68612CB6"/>
    <w:rsid w:val="68667455"/>
    <w:rsid w:val="68A23115"/>
    <w:rsid w:val="68AF7BA7"/>
    <w:rsid w:val="68CE29AC"/>
    <w:rsid w:val="68E34076"/>
    <w:rsid w:val="68E65681"/>
    <w:rsid w:val="68F145B5"/>
    <w:rsid w:val="68FA5214"/>
    <w:rsid w:val="69042888"/>
    <w:rsid w:val="6906197A"/>
    <w:rsid w:val="690C637F"/>
    <w:rsid w:val="690E74CE"/>
    <w:rsid w:val="692A17F3"/>
    <w:rsid w:val="692A799A"/>
    <w:rsid w:val="69360DF4"/>
    <w:rsid w:val="693B629B"/>
    <w:rsid w:val="6944008E"/>
    <w:rsid w:val="69477B83"/>
    <w:rsid w:val="69523226"/>
    <w:rsid w:val="696F6003"/>
    <w:rsid w:val="699B1540"/>
    <w:rsid w:val="699D4818"/>
    <w:rsid w:val="69C27972"/>
    <w:rsid w:val="69C43979"/>
    <w:rsid w:val="69D00515"/>
    <w:rsid w:val="69DC5EE6"/>
    <w:rsid w:val="6A0B7E27"/>
    <w:rsid w:val="6A15604C"/>
    <w:rsid w:val="6A2E4954"/>
    <w:rsid w:val="6A3014CE"/>
    <w:rsid w:val="6A414563"/>
    <w:rsid w:val="6A557CF7"/>
    <w:rsid w:val="6A5859DD"/>
    <w:rsid w:val="6A5C2DE6"/>
    <w:rsid w:val="6A6A771D"/>
    <w:rsid w:val="6A6E396D"/>
    <w:rsid w:val="6A7E2CA7"/>
    <w:rsid w:val="6AA35501"/>
    <w:rsid w:val="6AA507AA"/>
    <w:rsid w:val="6AB7364C"/>
    <w:rsid w:val="6AC9421D"/>
    <w:rsid w:val="6AD53613"/>
    <w:rsid w:val="6AD94F47"/>
    <w:rsid w:val="6AE641A3"/>
    <w:rsid w:val="6AE91DBD"/>
    <w:rsid w:val="6AEF29C9"/>
    <w:rsid w:val="6B281153"/>
    <w:rsid w:val="6B4227D3"/>
    <w:rsid w:val="6B4C3B26"/>
    <w:rsid w:val="6B5763ED"/>
    <w:rsid w:val="6B6162D1"/>
    <w:rsid w:val="6B7747FD"/>
    <w:rsid w:val="6B8D6111"/>
    <w:rsid w:val="6B9C3AE5"/>
    <w:rsid w:val="6BA924EB"/>
    <w:rsid w:val="6BB3693A"/>
    <w:rsid w:val="6BB3754C"/>
    <w:rsid w:val="6BC86908"/>
    <w:rsid w:val="6BCE245B"/>
    <w:rsid w:val="6BDB0A87"/>
    <w:rsid w:val="6BEB5350"/>
    <w:rsid w:val="6BEC7C68"/>
    <w:rsid w:val="6C39658E"/>
    <w:rsid w:val="6C4C2667"/>
    <w:rsid w:val="6C924478"/>
    <w:rsid w:val="6CA51813"/>
    <w:rsid w:val="6CA67763"/>
    <w:rsid w:val="6CB17A00"/>
    <w:rsid w:val="6CBB4A04"/>
    <w:rsid w:val="6CCA6D7E"/>
    <w:rsid w:val="6CD40BE1"/>
    <w:rsid w:val="6CD46A9B"/>
    <w:rsid w:val="6CDA49A3"/>
    <w:rsid w:val="6CEC01FF"/>
    <w:rsid w:val="6CED7FA5"/>
    <w:rsid w:val="6CF00038"/>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D1076A"/>
    <w:rsid w:val="6DDE3DAF"/>
    <w:rsid w:val="6DE96D8A"/>
    <w:rsid w:val="6DF24EC9"/>
    <w:rsid w:val="6DF30B8E"/>
    <w:rsid w:val="6DFD0899"/>
    <w:rsid w:val="6E0C6C88"/>
    <w:rsid w:val="6E1735DC"/>
    <w:rsid w:val="6E17545E"/>
    <w:rsid w:val="6E1F4ECD"/>
    <w:rsid w:val="6E2211D6"/>
    <w:rsid w:val="6E311184"/>
    <w:rsid w:val="6E31278B"/>
    <w:rsid w:val="6E3B2AD1"/>
    <w:rsid w:val="6E406F3A"/>
    <w:rsid w:val="6E470C30"/>
    <w:rsid w:val="6E4A54B0"/>
    <w:rsid w:val="6E5919EF"/>
    <w:rsid w:val="6E6602E9"/>
    <w:rsid w:val="6E6D6615"/>
    <w:rsid w:val="6E6F5C52"/>
    <w:rsid w:val="6E874588"/>
    <w:rsid w:val="6E8C7A11"/>
    <w:rsid w:val="6E9644A1"/>
    <w:rsid w:val="6E997B27"/>
    <w:rsid w:val="6EA567C2"/>
    <w:rsid w:val="6EAC6909"/>
    <w:rsid w:val="6EBA6E94"/>
    <w:rsid w:val="6EBD64D7"/>
    <w:rsid w:val="6EC95E71"/>
    <w:rsid w:val="6ECF4331"/>
    <w:rsid w:val="6ED72028"/>
    <w:rsid w:val="6ED8575C"/>
    <w:rsid w:val="6EDC5043"/>
    <w:rsid w:val="6EDD3888"/>
    <w:rsid w:val="6EE13724"/>
    <w:rsid w:val="6EE24ED6"/>
    <w:rsid w:val="6EEC1C0D"/>
    <w:rsid w:val="6EEF7332"/>
    <w:rsid w:val="6EF16478"/>
    <w:rsid w:val="6EF74B3E"/>
    <w:rsid w:val="6EFC0773"/>
    <w:rsid w:val="6F005353"/>
    <w:rsid w:val="6F02009A"/>
    <w:rsid w:val="6F04369B"/>
    <w:rsid w:val="6F0818E0"/>
    <w:rsid w:val="6F103FEE"/>
    <w:rsid w:val="6F14633B"/>
    <w:rsid w:val="6F2D66D6"/>
    <w:rsid w:val="6F2F326F"/>
    <w:rsid w:val="6F4337FE"/>
    <w:rsid w:val="6F606ADB"/>
    <w:rsid w:val="6F607D06"/>
    <w:rsid w:val="6F757C9C"/>
    <w:rsid w:val="6F7A0A72"/>
    <w:rsid w:val="6F8323D0"/>
    <w:rsid w:val="6F981439"/>
    <w:rsid w:val="6F9A5B3E"/>
    <w:rsid w:val="6FB23A01"/>
    <w:rsid w:val="6FBA4BA1"/>
    <w:rsid w:val="6FBC778D"/>
    <w:rsid w:val="6FDC4815"/>
    <w:rsid w:val="6FEA3E2C"/>
    <w:rsid w:val="6FEB04D5"/>
    <w:rsid w:val="701241A0"/>
    <w:rsid w:val="702603AF"/>
    <w:rsid w:val="7031023D"/>
    <w:rsid w:val="70531F9D"/>
    <w:rsid w:val="705E3F40"/>
    <w:rsid w:val="706301C0"/>
    <w:rsid w:val="70646C14"/>
    <w:rsid w:val="70726E65"/>
    <w:rsid w:val="70DB4B36"/>
    <w:rsid w:val="70E040A3"/>
    <w:rsid w:val="70E13200"/>
    <w:rsid w:val="70E91C33"/>
    <w:rsid w:val="70FF3D31"/>
    <w:rsid w:val="71035221"/>
    <w:rsid w:val="710B7588"/>
    <w:rsid w:val="71124891"/>
    <w:rsid w:val="7139612D"/>
    <w:rsid w:val="714420CD"/>
    <w:rsid w:val="71466AC5"/>
    <w:rsid w:val="71546923"/>
    <w:rsid w:val="715F4C2D"/>
    <w:rsid w:val="716E56FB"/>
    <w:rsid w:val="71730FAE"/>
    <w:rsid w:val="71742846"/>
    <w:rsid w:val="71841719"/>
    <w:rsid w:val="719B56EF"/>
    <w:rsid w:val="71B15C2B"/>
    <w:rsid w:val="71E27EA1"/>
    <w:rsid w:val="72024D75"/>
    <w:rsid w:val="72026398"/>
    <w:rsid w:val="722B4090"/>
    <w:rsid w:val="723F5976"/>
    <w:rsid w:val="724530CF"/>
    <w:rsid w:val="725C38FE"/>
    <w:rsid w:val="72607C33"/>
    <w:rsid w:val="7267558B"/>
    <w:rsid w:val="726D03AB"/>
    <w:rsid w:val="7275552C"/>
    <w:rsid w:val="72766BB2"/>
    <w:rsid w:val="72944739"/>
    <w:rsid w:val="72A97A08"/>
    <w:rsid w:val="72CB7F46"/>
    <w:rsid w:val="72D337E3"/>
    <w:rsid w:val="72D84E60"/>
    <w:rsid w:val="72E21F9E"/>
    <w:rsid w:val="72F100A8"/>
    <w:rsid w:val="72FA6C6A"/>
    <w:rsid w:val="72FB43B2"/>
    <w:rsid w:val="7303081C"/>
    <w:rsid w:val="730D4FC7"/>
    <w:rsid w:val="73121CB7"/>
    <w:rsid w:val="73127898"/>
    <w:rsid w:val="73134E8E"/>
    <w:rsid w:val="731F2161"/>
    <w:rsid w:val="732716BC"/>
    <w:rsid w:val="735344A6"/>
    <w:rsid w:val="735A645D"/>
    <w:rsid w:val="736816C1"/>
    <w:rsid w:val="737B0183"/>
    <w:rsid w:val="7381208C"/>
    <w:rsid w:val="73841927"/>
    <w:rsid w:val="738A7955"/>
    <w:rsid w:val="73A36DC3"/>
    <w:rsid w:val="73A64530"/>
    <w:rsid w:val="73A9530B"/>
    <w:rsid w:val="73B33483"/>
    <w:rsid w:val="73DE4D67"/>
    <w:rsid w:val="73FC6BEB"/>
    <w:rsid w:val="74016246"/>
    <w:rsid w:val="741255AF"/>
    <w:rsid w:val="745A4881"/>
    <w:rsid w:val="745C121D"/>
    <w:rsid w:val="74670710"/>
    <w:rsid w:val="746D0FDE"/>
    <w:rsid w:val="746F3109"/>
    <w:rsid w:val="74881C43"/>
    <w:rsid w:val="749A55E5"/>
    <w:rsid w:val="74B3391B"/>
    <w:rsid w:val="74BC5374"/>
    <w:rsid w:val="74CF4EC9"/>
    <w:rsid w:val="74D552C0"/>
    <w:rsid w:val="74DB0C49"/>
    <w:rsid w:val="74E03EAC"/>
    <w:rsid w:val="74E40DB3"/>
    <w:rsid w:val="74F1132B"/>
    <w:rsid w:val="7514569D"/>
    <w:rsid w:val="751B4A79"/>
    <w:rsid w:val="751B5F96"/>
    <w:rsid w:val="75310AD0"/>
    <w:rsid w:val="755A08D5"/>
    <w:rsid w:val="755C4C37"/>
    <w:rsid w:val="75622CB1"/>
    <w:rsid w:val="75772547"/>
    <w:rsid w:val="75790588"/>
    <w:rsid w:val="75997C5C"/>
    <w:rsid w:val="75B33C4A"/>
    <w:rsid w:val="75B84A01"/>
    <w:rsid w:val="75C57B39"/>
    <w:rsid w:val="75C863E2"/>
    <w:rsid w:val="75DA5365"/>
    <w:rsid w:val="75DE03EB"/>
    <w:rsid w:val="75EA7032"/>
    <w:rsid w:val="75EC44C9"/>
    <w:rsid w:val="75F71CA5"/>
    <w:rsid w:val="760C1517"/>
    <w:rsid w:val="7611078B"/>
    <w:rsid w:val="761A2E8D"/>
    <w:rsid w:val="762144FC"/>
    <w:rsid w:val="7628164D"/>
    <w:rsid w:val="76375AC5"/>
    <w:rsid w:val="76475DB4"/>
    <w:rsid w:val="765062E5"/>
    <w:rsid w:val="76725203"/>
    <w:rsid w:val="767263E3"/>
    <w:rsid w:val="767955BC"/>
    <w:rsid w:val="767F6735"/>
    <w:rsid w:val="7689098F"/>
    <w:rsid w:val="768D7CD7"/>
    <w:rsid w:val="76A17FB6"/>
    <w:rsid w:val="76B94C75"/>
    <w:rsid w:val="76C2056E"/>
    <w:rsid w:val="76CE079E"/>
    <w:rsid w:val="770D0D85"/>
    <w:rsid w:val="770D2AFC"/>
    <w:rsid w:val="771B710A"/>
    <w:rsid w:val="77245AA8"/>
    <w:rsid w:val="772870FB"/>
    <w:rsid w:val="773A6995"/>
    <w:rsid w:val="773D2757"/>
    <w:rsid w:val="77430B38"/>
    <w:rsid w:val="774B7FB7"/>
    <w:rsid w:val="774D1291"/>
    <w:rsid w:val="77504D2A"/>
    <w:rsid w:val="775E0582"/>
    <w:rsid w:val="775F4656"/>
    <w:rsid w:val="776C25E5"/>
    <w:rsid w:val="776C3E9D"/>
    <w:rsid w:val="777146DC"/>
    <w:rsid w:val="77747495"/>
    <w:rsid w:val="77813C44"/>
    <w:rsid w:val="778F614C"/>
    <w:rsid w:val="7797606B"/>
    <w:rsid w:val="779E1F21"/>
    <w:rsid w:val="77B7237F"/>
    <w:rsid w:val="77E40842"/>
    <w:rsid w:val="77F21B61"/>
    <w:rsid w:val="77FD2C5E"/>
    <w:rsid w:val="78271104"/>
    <w:rsid w:val="7828402F"/>
    <w:rsid w:val="782F5476"/>
    <w:rsid w:val="783000F4"/>
    <w:rsid w:val="78464A37"/>
    <w:rsid w:val="784A60C8"/>
    <w:rsid w:val="784B7472"/>
    <w:rsid w:val="785E7134"/>
    <w:rsid w:val="78661ED8"/>
    <w:rsid w:val="78861A8D"/>
    <w:rsid w:val="788F779E"/>
    <w:rsid w:val="78973BA6"/>
    <w:rsid w:val="78A376CA"/>
    <w:rsid w:val="78B82CD3"/>
    <w:rsid w:val="78C50594"/>
    <w:rsid w:val="78ED42D2"/>
    <w:rsid w:val="78F76941"/>
    <w:rsid w:val="78F82ED4"/>
    <w:rsid w:val="790114CB"/>
    <w:rsid w:val="7925703F"/>
    <w:rsid w:val="7931755D"/>
    <w:rsid w:val="793424DB"/>
    <w:rsid w:val="79443502"/>
    <w:rsid w:val="794563F3"/>
    <w:rsid w:val="7962750F"/>
    <w:rsid w:val="796B0021"/>
    <w:rsid w:val="796F42FD"/>
    <w:rsid w:val="79701A60"/>
    <w:rsid w:val="797152CB"/>
    <w:rsid w:val="797218E2"/>
    <w:rsid w:val="797F6705"/>
    <w:rsid w:val="79807FC2"/>
    <w:rsid w:val="79890D36"/>
    <w:rsid w:val="799D6ABE"/>
    <w:rsid w:val="79A65FED"/>
    <w:rsid w:val="79A70B11"/>
    <w:rsid w:val="79B43C51"/>
    <w:rsid w:val="79B6170C"/>
    <w:rsid w:val="79BB3341"/>
    <w:rsid w:val="79C22F64"/>
    <w:rsid w:val="79D03D26"/>
    <w:rsid w:val="79E43147"/>
    <w:rsid w:val="7A3466E6"/>
    <w:rsid w:val="7A410FED"/>
    <w:rsid w:val="7A4205D3"/>
    <w:rsid w:val="7A4F3DD9"/>
    <w:rsid w:val="7A577D70"/>
    <w:rsid w:val="7A5872B9"/>
    <w:rsid w:val="7A5C3640"/>
    <w:rsid w:val="7A73566B"/>
    <w:rsid w:val="7A761A22"/>
    <w:rsid w:val="7A7D4F17"/>
    <w:rsid w:val="7A801366"/>
    <w:rsid w:val="7A977FDA"/>
    <w:rsid w:val="7A9C218A"/>
    <w:rsid w:val="7A9C3F7D"/>
    <w:rsid w:val="7AB05BBC"/>
    <w:rsid w:val="7AB27F2F"/>
    <w:rsid w:val="7AB44E97"/>
    <w:rsid w:val="7AB740EE"/>
    <w:rsid w:val="7AB94AC3"/>
    <w:rsid w:val="7ABB47EB"/>
    <w:rsid w:val="7AD33C0D"/>
    <w:rsid w:val="7AE36910"/>
    <w:rsid w:val="7AEF7A90"/>
    <w:rsid w:val="7AF53C0B"/>
    <w:rsid w:val="7B07064A"/>
    <w:rsid w:val="7B0E6D55"/>
    <w:rsid w:val="7B144D45"/>
    <w:rsid w:val="7B265930"/>
    <w:rsid w:val="7B3E60A8"/>
    <w:rsid w:val="7B60366D"/>
    <w:rsid w:val="7B74384D"/>
    <w:rsid w:val="7B826E52"/>
    <w:rsid w:val="7B940404"/>
    <w:rsid w:val="7BB6238F"/>
    <w:rsid w:val="7BCA1026"/>
    <w:rsid w:val="7BD173B3"/>
    <w:rsid w:val="7BD37C16"/>
    <w:rsid w:val="7BDD38EC"/>
    <w:rsid w:val="7BF8597E"/>
    <w:rsid w:val="7C12395E"/>
    <w:rsid w:val="7C14711B"/>
    <w:rsid w:val="7C1932F5"/>
    <w:rsid w:val="7C312516"/>
    <w:rsid w:val="7C45431D"/>
    <w:rsid w:val="7C4A144B"/>
    <w:rsid w:val="7C51263D"/>
    <w:rsid w:val="7C5B6D47"/>
    <w:rsid w:val="7C5E2D26"/>
    <w:rsid w:val="7C6B6B6B"/>
    <w:rsid w:val="7C6E0AD7"/>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5B3E9F"/>
    <w:rsid w:val="7D5B5B2B"/>
    <w:rsid w:val="7D7035DC"/>
    <w:rsid w:val="7D81439A"/>
    <w:rsid w:val="7D8924BD"/>
    <w:rsid w:val="7D8F4F8D"/>
    <w:rsid w:val="7DA15D86"/>
    <w:rsid w:val="7DA47874"/>
    <w:rsid w:val="7DAC213C"/>
    <w:rsid w:val="7DAC49C4"/>
    <w:rsid w:val="7DB168E1"/>
    <w:rsid w:val="7DB44FBE"/>
    <w:rsid w:val="7DB704CD"/>
    <w:rsid w:val="7DC26A8B"/>
    <w:rsid w:val="7DC64605"/>
    <w:rsid w:val="7DC81A6D"/>
    <w:rsid w:val="7DCF7966"/>
    <w:rsid w:val="7DDD0501"/>
    <w:rsid w:val="7DF0192C"/>
    <w:rsid w:val="7E2653BA"/>
    <w:rsid w:val="7E2B63E7"/>
    <w:rsid w:val="7E4048EE"/>
    <w:rsid w:val="7E5348C9"/>
    <w:rsid w:val="7E575DF3"/>
    <w:rsid w:val="7E8A1E6A"/>
    <w:rsid w:val="7E8B79FF"/>
    <w:rsid w:val="7E905860"/>
    <w:rsid w:val="7E9334E2"/>
    <w:rsid w:val="7E935AFB"/>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424BA5"/>
    <w:rsid w:val="7F4610EC"/>
    <w:rsid w:val="7F50759A"/>
    <w:rsid w:val="7F5D7BDF"/>
    <w:rsid w:val="7F62141C"/>
    <w:rsid w:val="7F6D003B"/>
    <w:rsid w:val="7F73336C"/>
    <w:rsid w:val="7F7614D8"/>
    <w:rsid w:val="7F7A7D69"/>
    <w:rsid w:val="7F8029F6"/>
    <w:rsid w:val="7F822892"/>
    <w:rsid w:val="7F875650"/>
    <w:rsid w:val="7F8A68D8"/>
    <w:rsid w:val="7FA22782"/>
    <w:rsid w:val="7FA522BC"/>
    <w:rsid w:val="7FB05784"/>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0</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2024-08-09T07:54:41Z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